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6206" w:rsidRDefault="00F12D5B">
      <w:pPr>
        <w:tabs>
          <w:tab w:val="left" w:pos="3922"/>
          <w:tab w:val="left" w:pos="7912"/>
        </w:tabs>
        <w:ind w:left="254"/>
        <w:rPr>
          <w:sz w:val="20"/>
          <w:rFonts w:ascii="Times New Roman"/>
        </w:rPr>
      </w:pPr>
      <w:r>
        <w:rPr>
          <w:sz w:val="20"/>
          <w:rFonts w:ascii="Times New Roman"/>
        </w:rPr>
        <w:drawing>
          <wp:inline distT="0" distB="0" distL="0" distR="0">
            <wp:extent cx="1212271" cy="69008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271" cy="69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rFonts w:ascii="Times New Roman"/>
        </w:rPr>
        <w:t xml:space="preserve"> </w:t>
      </w:r>
      <w:r>
        <w:drawing>
          <wp:inline distT="0" distB="0" distL="0" distR="0">
            <wp:extent cx="665661" cy="68808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661" cy="6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rFonts w:ascii="Times New Roman"/>
        </w:rPr>
        <w:tab/>
      </w:r>
      <w:r>
        <w:drawing>
          <wp:inline distT="0" distB="0" distL="0" distR="0">
            <wp:extent cx="1169667" cy="249174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667" cy="24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rFonts w:ascii="Times New Roman"/>
        </w:rPr>
        <w:t xml:space="preserve"> </w:t>
      </w:r>
      <w:r>
        <w:drawing>
          <wp:inline distT="0" distB="0" distL="0" distR="0">
            <wp:extent cx="1111177" cy="280987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177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rFonts w:ascii="Times New Roman"/>
        </w:rPr>
        <w:tab/>
      </w:r>
      <w:r>
        <w:drawing>
          <wp:inline distT="0" distB="0" distL="0" distR="0">
            <wp:extent cx="688437" cy="662940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437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206" w:rsidRDefault="00F96206">
      <w:pPr>
        <w:pStyle w:val="Corpsdetexte"/>
        <w:rPr>
          <w:rFonts w:ascii="Times New Roman"/>
          <w:sz w:val="20"/>
        </w:rPr>
      </w:pPr>
    </w:p>
    <w:p w:rsidR="00F96206" w:rsidRDefault="00F96206">
      <w:pPr>
        <w:pStyle w:val="Corpsdetexte"/>
        <w:spacing w:before="5"/>
        <w:rPr>
          <w:rFonts w:ascii="Times New Roman"/>
          <w:sz w:val="25"/>
        </w:rPr>
      </w:pPr>
    </w:p>
    <w:p w:rsidR="00F96206" w:rsidRDefault="00F12D5B">
      <w:pPr>
        <w:spacing w:before="100"/>
        <w:ind w:left="253"/>
        <w:rPr>
          <w:sz w:val="24"/>
        </w:rPr>
      </w:pPr>
      <w:r>
        <w:rPr>
          <w:color w:val="595959"/>
          <w:sz w:val="24"/>
        </w:rPr>
        <w:t xml:space="preserve">DESENVOLVIMENTO DE CAPACIDADES DE ELABORAÇÃO DE LEIS E POLÍTICAS SOBRE DESLOCAÇÕES INTERNAS</w:t>
      </w:r>
    </w:p>
    <w:p w:rsidR="00F96206" w:rsidRDefault="00F96206">
      <w:pPr>
        <w:pStyle w:val="Corpsdetexte"/>
        <w:rPr>
          <w:sz w:val="28"/>
        </w:rPr>
      </w:pPr>
    </w:p>
    <w:p w:rsidR="00F96206" w:rsidRDefault="00F96206">
      <w:pPr>
        <w:pStyle w:val="Corpsdetexte"/>
        <w:rPr>
          <w:sz w:val="28"/>
        </w:rPr>
      </w:pPr>
    </w:p>
    <w:p w:rsidR="00F96206" w:rsidRDefault="00F96206">
      <w:pPr>
        <w:pStyle w:val="Corpsdetexte"/>
        <w:spacing w:before="7"/>
        <w:rPr>
          <w:sz w:val="25"/>
        </w:rPr>
      </w:pPr>
    </w:p>
    <w:p w:rsidR="00F96206" w:rsidRDefault="00F12D5B" w:rsidP="00F12D5B">
      <w:pPr>
        <w:pStyle w:val="Titre"/>
      </w:pPr>
      <w:r>
        <w:rPr>
          <w:color w:val="5B9BD5"/>
        </w:rPr>
        <w:t xml:space="preserve">SESSÃO 7:</w:t>
      </w:r>
      <w:r>
        <w:rPr>
          <w:color w:val="5B9BD5"/>
        </w:rPr>
        <w:t xml:space="preserve"> </w:t>
      </w:r>
      <w:r>
        <w:rPr>
          <w:color w:val="5B9BD5"/>
        </w:rPr>
        <w:t xml:space="preserve">PREPARAÇÃO, ÂMBITO E TIPO</w:t>
      </w:r>
    </w:p>
    <w:p w:rsidR="00F96206" w:rsidRDefault="00F12D5B">
      <w:pPr>
        <w:spacing w:before="304"/>
        <w:ind w:left="253"/>
        <w:rPr>
          <w:sz w:val="24"/>
        </w:rPr>
      </w:pPr>
      <w:r>
        <w:rPr>
          <w:color w:val="595959"/>
          <w:sz w:val="24"/>
        </w:rPr>
        <w:t xml:space="preserve">TIPO E ÂMBITO DOS INSTRUMENTOS NACIONAIS</w:t>
      </w:r>
    </w:p>
    <w:p w:rsidR="00F96206" w:rsidRDefault="00F96206">
      <w:pPr>
        <w:pStyle w:val="Corpsdetexte"/>
        <w:rPr>
          <w:sz w:val="20"/>
        </w:rPr>
      </w:pPr>
    </w:p>
    <w:p w:rsidR="00F96206" w:rsidRDefault="00F96206">
      <w:pPr>
        <w:pStyle w:val="Corpsdetexte"/>
        <w:rPr>
          <w:sz w:val="20"/>
        </w:rPr>
      </w:pPr>
    </w:p>
    <w:p w:rsidR="00F96206" w:rsidRDefault="00F96206">
      <w:pPr>
        <w:pStyle w:val="Corpsdetexte"/>
        <w:rPr>
          <w:sz w:val="20"/>
        </w:rPr>
      </w:pPr>
    </w:p>
    <w:p w:rsidR="00F96206" w:rsidRDefault="00F96206">
      <w:pPr>
        <w:pStyle w:val="Corpsdetexte"/>
        <w:spacing w:before="12"/>
        <w:rPr>
          <w:sz w:val="18"/>
        </w:rPr>
      </w:pPr>
    </w:p>
    <w:p w:rsidR="00F96206" w:rsidRDefault="00F12D5B">
      <w:pPr>
        <w:tabs>
          <w:tab w:val="left" w:pos="9411"/>
        </w:tabs>
        <w:spacing w:before="106"/>
        <w:ind w:left="167"/>
        <w:rPr>
          <w:b/>
          <w:sz w:val="21"/>
        </w:rPr>
      </w:pPr>
      <w:r>
        <w:rPr>
          <w:color w:val="FFFFFF"/>
          <w:sz w:val="21"/>
          <w:shd w:val="clear" w:color="auto" w:fill="5B9BD5"/>
          <w:rFonts w:ascii="Times New Roman"/>
        </w:rPr>
        <w:t xml:space="preserve">  </w:t>
      </w:r>
      <w:r>
        <w:rPr>
          <w:color w:val="FFFFFF"/>
          <w:sz w:val="21"/>
          <w:shd w:val="clear" w:color="auto" w:fill="5B9BD5"/>
          <w:b/>
        </w:rPr>
        <w:t xml:space="preserve">ÂMBITO</w:t>
      </w:r>
      <w:r>
        <w:rPr>
          <w:color w:val="FFFFFF"/>
          <w:sz w:val="21"/>
          <w:shd w:val="clear" w:color="auto" w:fill="5B9BD5"/>
          <w:b/>
        </w:rPr>
        <w:tab/>
      </w:r>
    </w:p>
    <w:p w:rsidR="00F96206" w:rsidRDefault="00F96206">
      <w:pPr>
        <w:pStyle w:val="Corpsdetexte"/>
        <w:spacing w:before="3"/>
        <w:rPr>
          <w:b/>
          <w:sz w:val="16"/>
        </w:rPr>
      </w:pPr>
    </w:p>
    <w:p w:rsidR="00F96206" w:rsidRDefault="00F12D5B">
      <w:pPr>
        <w:pStyle w:val="Corpsdetexte"/>
        <w:spacing w:before="106" w:line="290" w:lineRule="auto"/>
        <w:ind w:left="253" w:right="272"/>
      </w:pPr>
      <w:r>
        <w:t xml:space="preserve">Com base na avaliação da situação de deslocação e, se aplicável, do resultado de uma análise jurídica, os legisladores e decisores políticos serão capazes de a) decidir se devem desenvolver um instrumento específico ou alterar a legislação atual, e b) determinar o âmbito do instrumento necessário.</w:t>
      </w:r>
    </w:p>
    <w:p w:rsidR="00F96206" w:rsidRDefault="00F96206">
      <w:pPr>
        <w:pStyle w:val="Corpsdetexte"/>
        <w:spacing w:before="10" w:after="1"/>
        <w:rPr>
          <w:sz w:val="15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469"/>
        <w:gridCol w:w="3893"/>
        <w:gridCol w:w="3970"/>
      </w:tblGrid>
      <w:tr w:rsidR="00F96206">
        <w:trPr>
          <w:trHeight w:val="426"/>
        </w:trPr>
        <w:tc>
          <w:tcPr>
            <w:tcW w:w="9332" w:type="dxa"/>
            <w:gridSpan w:val="3"/>
            <w:tcBorders>
              <w:top w:val="nil"/>
              <w:left w:val="nil"/>
              <w:right w:val="nil"/>
            </w:tcBorders>
            <w:shd w:val="clear" w:color="auto" w:fill="DEEAF6"/>
          </w:tcPr>
          <w:p w:rsidR="00F96206" w:rsidRDefault="00F12D5B">
            <w:pPr>
              <w:pStyle w:val="TableParagraph"/>
              <w:spacing w:before="73"/>
              <w:ind w:left="153"/>
              <w:rPr>
                <w:sz w:val="21"/>
              </w:rPr>
            </w:pPr>
            <w:r>
              <w:rPr>
                <w:sz w:val="21"/>
              </w:rPr>
              <w:t xml:space="preserve">INSTRUMENTO ESPECÍFICO OU ALTERAÇÕES?</w:t>
            </w:r>
          </w:p>
        </w:tc>
      </w:tr>
      <w:tr w:rsidR="00F96206">
        <w:trPr>
          <w:trHeight w:val="820"/>
        </w:trPr>
        <w:tc>
          <w:tcPr>
            <w:tcW w:w="1469" w:type="dxa"/>
            <w:tcBorders>
              <w:bottom w:val="single" w:sz="2" w:space="0" w:color="F2F2F2"/>
            </w:tcBorders>
          </w:tcPr>
          <w:p w:rsidR="00F96206" w:rsidRDefault="00F9620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93" w:type="dxa"/>
            <w:tcBorders>
              <w:bottom w:val="single" w:sz="2" w:space="0" w:color="F2F2F2"/>
            </w:tcBorders>
            <w:shd w:val="clear" w:color="auto" w:fill="D9D9D9"/>
          </w:tcPr>
          <w:p w:rsidR="00F96206" w:rsidRDefault="00F96206">
            <w:pPr>
              <w:pStyle w:val="TableParagraph"/>
              <w:spacing w:before="10"/>
            </w:pPr>
          </w:p>
          <w:p w:rsidR="00F96206" w:rsidRDefault="00F12D5B">
            <w:pPr>
              <w:pStyle w:val="TableParagraph"/>
              <w:spacing w:before="1"/>
              <w:ind w:left="172"/>
              <w:rPr>
                <w:sz w:val="19"/>
              </w:rPr>
            </w:pPr>
            <w:r>
              <w:rPr>
                <w:sz w:val="19"/>
              </w:rPr>
              <w:t xml:space="preserve">Instrumento específico</w:t>
            </w:r>
          </w:p>
        </w:tc>
        <w:tc>
          <w:tcPr>
            <w:tcW w:w="3970" w:type="dxa"/>
            <w:tcBorders>
              <w:bottom w:val="single" w:sz="2" w:space="0" w:color="F2F2F2"/>
            </w:tcBorders>
            <w:shd w:val="clear" w:color="auto" w:fill="D9D9D9"/>
          </w:tcPr>
          <w:p w:rsidR="00F96206" w:rsidRDefault="00F96206">
            <w:pPr>
              <w:pStyle w:val="TableParagraph"/>
              <w:spacing w:before="10"/>
            </w:pPr>
          </w:p>
          <w:p w:rsidR="00F96206" w:rsidRDefault="00F12D5B">
            <w:pPr>
              <w:pStyle w:val="TableParagraph"/>
              <w:spacing w:before="1"/>
              <w:ind w:left="171"/>
              <w:rPr>
                <w:sz w:val="19"/>
              </w:rPr>
            </w:pPr>
            <w:r>
              <w:rPr>
                <w:sz w:val="19"/>
              </w:rPr>
              <w:t xml:space="preserve">Alterações à legislação setorial atual</w:t>
            </w:r>
          </w:p>
        </w:tc>
      </w:tr>
      <w:tr w:rsidR="00F96206">
        <w:trPr>
          <w:trHeight w:val="124"/>
        </w:trPr>
        <w:tc>
          <w:tcPr>
            <w:tcW w:w="1469" w:type="dxa"/>
            <w:vMerge w:val="restart"/>
            <w:tcBorders>
              <w:top w:val="single" w:sz="2" w:space="0" w:color="F2F2F2"/>
            </w:tcBorders>
            <w:shd w:val="clear" w:color="auto" w:fill="D9D9D9"/>
          </w:tcPr>
          <w:p w:rsidR="00F96206" w:rsidRDefault="00F96206">
            <w:pPr>
              <w:pStyle w:val="TableParagraph"/>
              <w:spacing w:before="7"/>
              <w:rPr>
                <w:sz w:val="27"/>
              </w:rPr>
            </w:pPr>
          </w:p>
          <w:p w:rsidR="00F96206" w:rsidRDefault="00F12D5B">
            <w:pPr>
              <w:pStyle w:val="TableParagraph"/>
              <w:spacing w:before="1"/>
              <w:ind w:left="148"/>
              <w:rPr>
                <w:sz w:val="19"/>
              </w:rPr>
            </w:pPr>
            <w:r>
              <w:rPr>
                <w:sz w:val="19"/>
              </w:rPr>
              <w:t xml:space="preserve">Forma</w:t>
            </w:r>
          </w:p>
        </w:tc>
        <w:tc>
          <w:tcPr>
            <w:tcW w:w="7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F96206" w:rsidRDefault="00F9620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F96206">
        <w:trPr>
          <w:trHeight w:val="1021"/>
        </w:trPr>
        <w:tc>
          <w:tcPr>
            <w:tcW w:w="1469" w:type="dxa"/>
            <w:vMerge/>
            <w:tcBorders>
              <w:top w:val="nil"/>
            </w:tcBorders>
            <w:shd w:val="clear" w:color="auto" w:fill="D9D9D9"/>
          </w:tcPr>
          <w:p w:rsidR="00F96206" w:rsidRDefault="00F96206">
            <w:pPr>
              <w:rPr>
                <w:sz w:val="2"/>
                <w:szCs w:val="2"/>
              </w:rPr>
            </w:pPr>
          </w:p>
        </w:tc>
        <w:tc>
          <w:tcPr>
            <w:tcW w:w="3893" w:type="dxa"/>
            <w:tcBorders>
              <w:top w:val="nil"/>
            </w:tcBorders>
            <w:shd w:val="clear" w:color="auto" w:fill="F2F2F2"/>
          </w:tcPr>
          <w:p w:rsidR="00F96206" w:rsidRDefault="00F12D5B">
            <w:pPr>
              <w:pStyle w:val="TableParagraph"/>
              <w:spacing w:before="198" w:line="288" w:lineRule="auto"/>
              <w:ind w:left="172" w:right="291"/>
              <w:rPr>
                <w:sz w:val="19"/>
              </w:rPr>
            </w:pPr>
            <w:r>
              <w:rPr>
                <w:sz w:val="19"/>
              </w:rPr>
              <w:t xml:space="preserve">Abrange todos os aspetos da deslocação numa só lei ou política.</w:t>
            </w:r>
          </w:p>
        </w:tc>
        <w:tc>
          <w:tcPr>
            <w:tcW w:w="3970" w:type="dxa"/>
            <w:tcBorders>
              <w:top w:val="nil"/>
            </w:tcBorders>
            <w:shd w:val="clear" w:color="auto" w:fill="F2F2F2"/>
          </w:tcPr>
          <w:p w:rsidR="00F96206" w:rsidRDefault="00F12D5B">
            <w:pPr>
              <w:pStyle w:val="TableParagraph"/>
              <w:spacing w:before="198" w:line="288" w:lineRule="auto"/>
              <w:ind w:left="171" w:right="460"/>
              <w:rPr>
                <w:sz w:val="19"/>
              </w:rPr>
            </w:pPr>
            <w:r>
              <w:rPr>
                <w:sz w:val="19"/>
              </w:rPr>
              <w:t xml:space="preserve">Inclui os aspetos da deslocação em leis temáticas e decretos.</w:t>
            </w:r>
          </w:p>
        </w:tc>
      </w:tr>
      <w:tr w:rsidR="00F96206">
        <w:trPr>
          <w:trHeight w:val="2106"/>
        </w:trPr>
        <w:tc>
          <w:tcPr>
            <w:tcW w:w="1469" w:type="dxa"/>
            <w:shd w:val="clear" w:color="auto" w:fill="D9D9D9"/>
          </w:tcPr>
          <w:p w:rsidR="00F96206" w:rsidRDefault="00F96206">
            <w:pPr>
              <w:pStyle w:val="TableParagraph"/>
              <w:spacing w:before="6"/>
            </w:pPr>
          </w:p>
          <w:p w:rsidR="00F96206" w:rsidRDefault="00F12D5B">
            <w:pPr>
              <w:pStyle w:val="TableParagraph"/>
              <w:ind w:left="148"/>
              <w:rPr>
                <w:sz w:val="19"/>
              </w:rPr>
            </w:pPr>
            <w:r>
              <w:rPr>
                <w:sz w:val="19"/>
              </w:rPr>
              <w:t xml:space="preserve">Vantagens</w:t>
            </w:r>
          </w:p>
        </w:tc>
        <w:tc>
          <w:tcPr>
            <w:tcW w:w="3893" w:type="dxa"/>
            <w:shd w:val="clear" w:color="auto" w:fill="F2F2F2"/>
          </w:tcPr>
          <w:p w:rsidR="00F96206" w:rsidRDefault="00F96206">
            <w:pPr>
              <w:pStyle w:val="TableParagraph"/>
              <w:spacing w:before="10"/>
            </w:pPr>
          </w:p>
          <w:p w:rsidR="00F96206" w:rsidRDefault="00F12D5B">
            <w:pPr>
              <w:pStyle w:val="TableParagraph"/>
              <w:numPr>
                <w:ilvl w:val="0"/>
                <w:numId w:val="8"/>
              </w:numPr>
              <w:tabs>
                <w:tab w:val="left" w:pos="589"/>
                <w:tab w:val="left" w:pos="590"/>
              </w:tabs>
              <w:spacing w:before="1" w:line="292" w:lineRule="auto"/>
              <w:ind w:right="1121"/>
              <w:rPr>
                <w:sz w:val="19"/>
              </w:rPr>
            </w:pPr>
            <w:r>
              <w:rPr>
                <w:sz w:val="19"/>
              </w:rPr>
              <w:t xml:space="preserve">A deslocação é abordada de forma abrangente.</w:t>
            </w:r>
          </w:p>
          <w:p w:rsidR="00F96206" w:rsidRDefault="00F12D5B">
            <w:pPr>
              <w:pStyle w:val="TableParagraph"/>
              <w:numPr>
                <w:ilvl w:val="0"/>
                <w:numId w:val="8"/>
              </w:numPr>
              <w:tabs>
                <w:tab w:val="left" w:pos="634"/>
                <w:tab w:val="left" w:pos="635"/>
              </w:tabs>
              <w:spacing w:line="228" w:lineRule="exact"/>
              <w:ind w:left="634" w:hanging="406"/>
              <w:rPr>
                <w:sz w:val="19"/>
              </w:rPr>
            </w:pPr>
            <w:r>
              <w:rPr>
                <w:sz w:val="19"/>
              </w:rPr>
              <w:t xml:space="preserve">Reduz o risco de lacunas.</w:t>
            </w:r>
          </w:p>
          <w:p w:rsidR="00F96206" w:rsidRDefault="00F12D5B">
            <w:pPr>
              <w:pStyle w:val="TableParagraph"/>
              <w:numPr>
                <w:ilvl w:val="0"/>
                <w:numId w:val="8"/>
              </w:numPr>
              <w:tabs>
                <w:tab w:val="left" w:pos="634"/>
                <w:tab w:val="left" w:pos="635"/>
              </w:tabs>
              <w:spacing w:before="51"/>
              <w:ind w:left="634" w:hanging="406"/>
              <w:rPr>
                <w:sz w:val="19"/>
              </w:rPr>
            </w:pPr>
            <w:r>
              <w:rPr>
                <w:sz w:val="19"/>
              </w:rPr>
              <w:t xml:space="preserve">É mais fácil monitorizar a implementação.</w:t>
            </w:r>
          </w:p>
        </w:tc>
        <w:tc>
          <w:tcPr>
            <w:tcW w:w="3970" w:type="dxa"/>
            <w:shd w:val="clear" w:color="auto" w:fill="F2F2F2"/>
          </w:tcPr>
          <w:p w:rsidR="00F96206" w:rsidRDefault="00F12D5B">
            <w:pPr>
              <w:pStyle w:val="TableParagraph"/>
              <w:numPr>
                <w:ilvl w:val="0"/>
                <w:numId w:val="7"/>
              </w:numPr>
              <w:tabs>
                <w:tab w:val="left" w:pos="588"/>
                <w:tab w:val="left" w:pos="589"/>
              </w:tabs>
              <w:spacing w:before="78"/>
              <w:ind w:hanging="361"/>
              <w:rPr>
                <w:sz w:val="19"/>
              </w:rPr>
            </w:pPr>
            <w:r>
              <w:rPr>
                <w:sz w:val="19"/>
              </w:rPr>
              <w:t xml:space="preserve">Na maioria dos casos, é legalmente vinculativo.</w:t>
            </w:r>
          </w:p>
          <w:p w:rsidR="00F96206" w:rsidRDefault="00F12D5B">
            <w:pPr>
              <w:pStyle w:val="TableParagraph"/>
              <w:numPr>
                <w:ilvl w:val="0"/>
                <w:numId w:val="7"/>
              </w:numPr>
              <w:tabs>
                <w:tab w:val="left" w:pos="588"/>
                <w:tab w:val="left" w:pos="589"/>
              </w:tabs>
              <w:spacing w:before="51" w:line="288" w:lineRule="auto"/>
              <w:ind w:left="588" w:right="577"/>
              <w:rPr>
                <w:sz w:val="19"/>
              </w:rPr>
            </w:pPr>
            <w:r>
              <w:rPr>
                <w:sz w:val="19"/>
              </w:rPr>
              <w:t xml:space="preserve">Envolve automaticamente todos os ministérios relevantes.</w:t>
            </w:r>
          </w:p>
        </w:tc>
      </w:tr>
      <w:tr w:rsidR="00F96206">
        <w:trPr>
          <w:trHeight w:val="1468"/>
        </w:trPr>
        <w:tc>
          <w:tcPr>
            <w:tcW w:w="1469" w:type="dxa"/>
            <w:tcBorders>
              <w:bottom w:val="nil"/>
            </w:tcBorders>
            <w:shd w:val="clear" w:color="auto" w:fill="D9D9D9"/>
          </w:tcPr>
          <w:p w:rsidR="00F96206" w:rsidRDefault="00F96206">
            <w:pPr>
              <w:pStyle w:val="TableParagraph"/>
              <w:spacing w:before="6"/>
            </w:pPr>
          </w:p>
          <w:p w:rsidR="00F96206" w:rsidRDefault="00F12D5B">
            <w:pPr>
              <w:pStyle w:val="TableParagraph"/>
              <w:ind w:left="148"/>
              <w:rPr>
                <w:sz w:val="19"/>
              </w:rPr>
            </w:pPr>
            <w:r>
              <w:rPr>
                <w:sz w:val="19"/>
              </w:rPr>
              <w:t xml:space="preserve">Desvantagens</w:t>
            </w:r>
          </w:p>
        </w:tc>
        <w:tc>
          <w:tcPr>
            <w:tcW w:w="3893" w:type="dxa"/>
            <w:tcBorders>
              <w:bottom w:val="nil"/>
            </w:tcBorders>
            <w:shd w:val="clear" w:color="auto" w:fill="F2F2F2"/>
          </w:tcPr>
          <w:p w:rsidR="00F96206" w:rsidRDefault="00F96206">
            <w:pPr>
              <w:pStyle w:val="TableParagraph"/>
              <w:spacing w:before="10"/>
            </w:pPr>
          </w:p>
          <w:p w:rsidR="00F96206" w:rsidRDefault="00F12D5B">
            <w:pPr>
              <w:pStyle w:val="TableParagraph"/>
              <w:numPr>
                <w:ilvl w:val="0"/>
                <w:numId w:val="6"/>
              </w:numPr>
              <w:tabs>
                <w:tab w:val="left" w:pos="589"/>
                <w:tab w:val="left" w:pos="590"/>
              </w:tabs>
              <w:spacing w:before="1" w:line="288" w:lineRule="auto"/>
              <w:ind w:right="271"/>
              <w:rPr>
                <w:sz w:val="19"/>
              </w:rPr>
            </w:pPr>
            <w:r>
              <w:rPr>
                <w:sz w:val="19"/>
              </w:rPr>
              <w:t xml:space="preserve">É necessário envolver muitos ministérios: um processo difícil e lento.</w:t>
            </w:r>
          </w:p>
          <w:p w:rsidR="00F96206" w:rsidRDefault="00F12D5B">
            <w:pPr>
              <w:pStyle w:val="TableParagraph"/>
              <w:numPr>
                <w:ilvl w:val="0"/>
                <w:numId w:val="6"/>
              </w:numPr>
              <w:tabs>
                <w:tab w:val="left" w:pos="634"/>
                <w:tab w:val="left" w:pos="635"/>
              </w:tabs>
              <w:spacing w:before="5"/>
              <w:ind w:left="634" w:hanging="406"/>
              <w:rPr>
                <w:sz w:val="19"/>
              </w:rPr>
            </w:pPr>
            <w:r>
              <w:rPr>
                <w:sz w:val="19"/>
              </w:rPr>
              <w:t xml:space="preserve">Mais resistência política.</w:t>
            </w:r>
          </w:p>
        </w:tc>
        <w:tc>
          <w:tcPr>
            <w:tcW w:w="3970" w:type="dxa"/>
            <w:tcBorders>
              <w:bottom w:val="nil"/>
            </w:tcBorders>
            <w:shd w:val="clear" w:color="auto" w:fill="F2F2F2"/>
          </w:tcPr>
          <w:p w:rsidR="00F96206" w:rsidRDefault="00F12D5B">
            <w:pPr>
              <w:pStyle w:val="TableParagraph"/>
              <w:numPr>
                <w:ilvl w:val="0"/>
                <w:numId w:val="5"/>
              </w:numPr>
              <w:tabs>
                <w:tab w:val="left" w:pos="588"/>
                <w:tab w:val="left" w:pos="589"/>
              </w:tabs>
              <w:spacing w:before="78"/>
              <w:ind w:hanging="361"/>
              <w:rPr>
                <w:sz w:val="19"/>
              </w:rPr>
            </w:pPr>
            <w:r>
              <w:rPr>
                <w:sz w:val="19"/>
              </w:rPr>
              <w:t xml:space="preserve">Pode deixar lacunas por resolver.</w:t>
            </w:r>
          </w:p>
          <w:p w:rsidR="00F96206" w:rsidRDefault="00F12D5B">
            <w:pPr>
              <w:pStyle w:val="TableParagraph"/>
              <w:numPr>
                <w:ilvl w:val="0"/>
                <w:numId w:val="5"/>
              </w:numPr>
              <w:tabs>
                <w:tab w:val="left" w:pos="588"/>
                <w:tab w:val="left" w:pos="589"/>
              </w:tabs>
              <w:spacing w:before="51"/>
              <w:ind w:hanging="361"/>
              <w:rPr>
                <w:sz w:val="19"/>
              </w:rPr>
            </w:pPr>
            <w:r>
              <w:rPr>
                <w:sz w:val="19"/>
              </w:rPr>
              <w:t xml:space="preserve">Risco de atividades descoordenadas.</w:t>
            </w:r>
          </w:p>
          <w:p w:rsidR="00F96206" w:rsidRDefault="00F12D5B">
            <w:pPr>
              <w:pStyle w:val="TableParagraph"/>
              <w:numPr>
                <w:ilvl w:val="0"/>
                <w:numId w:val="5"/>
              </w:numPr>
              <w:tabs>
                <w:tab w:val="left" w:pos="588"/>
                <w:tab w:val="left" w:pos="589"/>
              </w:tabs>
              <w:spacing w:before="46" w:line="292" w:lineRule="auto"/>
              <w:ind w:left="588" w:right="386"/>
              <w:rPr>
                <w:sz w:val="19"/>
              </w:rPr>
            </w:pPr>
            <w:r>
              <w:rPr>
                <w:sz w:val="19"/>
              </w:rPr>
              <w:t xml:space="preserve">A falta de conhecimento e sensibilização para a deslocação pode ser um obstáculo.</w:t>
            </w:r>
          </w:p>
        </w:tc>
      </w:tr>
    </w:tbl>
    <w:p w:rsidR="00F96206" w:rsidRDefault="00F96206">
      <w:pPr>
        <w:spacing w:line="292" w:lineRule="auto"/>
        <w:rPr>
          <w:sz w:val="19"/>
        </w:rPr>
        <w:sectPr w:rsidR="00F96206">
          <w:type w:val="continuous"/>
          <w:pgSz w:w="11900" w:h="16820"/>
          <w:pgMar w:top="900" w:right="1100" w:bottom="280" w:left="1160" w:header="708" w:footer="708" w:gutter="0"/>
          <w:cols w:space="708"/>
        </w:sectPr>
      </w:pPr>
    </w:p>
    <w:p w:rsidR="00F96206" w:rsidRDefault="00F12D5B">
      <w:pPr>
        <w:pStyle w:val="Corpsdetexte"/>
        <w:spacing w:before="80" w:line="290" w:lineRule="auto"/>
        <w:ind w:left="253" w:right="326"/>
      </w:pPr>
      <w:r>
        <w:t xml:space="preserve">Os instrumentos específicos, como os adotados no Afeganistão, Colômbia, Quénia, Uganda, Ucrânia e Iémen, e a adotar em breve na Somália e Somalilândia, abordam todos os aspetos da deslocação e são transversais a todas as áreas que exigem um regulamento.</w:t>
      </w:r>
    </w:p>
    <w:p w:rsidR="00F96206" w:rsidRDefault="00F12D5B">
      <w:pPr>
        <w:pStyle w:val="Corpsdetexte"/>
        <w:spacing w:before="10"/>
        <w:rPr>
          <w:sz w:val="20"/>
        </w:rPr>
      </w:pPr>
      <w:r>
        <w:pict>
          <v:group id="_x0000_s1055" style="position:absolute;margin-left:66.6pt;margin-top:14.7pt;width:459.15pt;height:33.6pt;z-index:-15728640;mso-wrap-distance-left:0;mso-wrap-distance-right:0;mso-position-horizontal-relative:page" coordorigin="1332,294" coordsize="9183,672">
            <v:shape id="_x0000_s1057" style="position:absolute;left:1332;top:294;width:9183;height:672" coordorigin="1332,294" coordsize="9183,672" path="m10514,294r-9168,l1332,294r,14l1332,659r,307l1346,966r,-307l1346,308r9168,l10514,294xe" fillcolor="#5b9bd5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6" type="#_x0000_t202" style="position:absolute;left:1332;top:294;width:9183;height:672" filled="f" stroked="f">
              <v:textbox inset="0,0,0,0">
                <w:txbxContent>
                  <w:p w:rsidR="00F96206" w:rsidRDefault="00F12D5B">
                    <w:pPr>
                      <w:spacing w:before="64" w:line="292" w:lineRule="auto"/>
                      <w:ind w:left="81" w:right="419"/>
                      <w:rPr>
                        <w:sz w:val="21"/>
                      </w:rPr>
                    </w:pPr>
                    <w:r>
                      <w:rPr>
                        <w:color w:val="1F4D78"/>
                        <w:sz w:val="21"/>
                      </w:rPr>
                      <w:t xml:space="preserve">MAIOR VISIBILIDADE, SENSIBILIZAÇÃO E ABRANGÊNCIA:</w:t>
                    </w:r>
                    <w:r>
                      <w:rPr>
                        <w:color w:val="1F4D78"/>
                        <w:sz w:val="21"/>
                      </w:rPr>
                      <w:t xml:space="preserve"> </w:t>
                    </w:r>
                    <w:r>
                      <w:rPr>
                        <w:color w:val="1F4D78"/>
                        <w:sz w:val="21"/>
                      </w:rPr>
                      <w:t xml:space="preserve">POTENCIAL PARA A MUDANÇA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96206" w:rsidRDefault="00F96206">
      <w:pPr>
        <w:pStyle w:val="Corpsdetexte"/>
        <w:spacing w:before="11"/>
        <w:rPr>
          <w:sz w:val="5"/>
        </w:rPr>
      </w:pPr>
    </w:p>
    <w:p w:rsidR="00F96206" w:rsidRDefault="00F12D5B">
      <w:pPr>
        <w:pStyle w:val="Corpsdetexte"/>
        <w:spacing w:before="107" w:line="290" w:lineRule="auto"/>
        <w:ind w:left="253" w:right="326"/>
      </w:pPr>
      <w:r>
        <w:t xml:space="preserve">Antes de a Colômbia ter adotado legislação específica sobre as PDI, em 1997, a resposta do governo à deslocação era ad hoc e ineficaz.</w:t>
      </w:r>
      <w:r>
        <w:t xml:space="preserve"> </w:t>
      </w:r>
      <w:r>
        <w:t xml:space="preserve">Apesar da sua magnitude, o assunto teve muito baixa prioridade e pouca visibilidade.</w:t>
      </w:r>
      <w:r>
        <w:t xml:space="preserve"> </w:t>
      </w:r>
      <w:r>
        <w:t xml:space="preserve">Houve falhas na implementação da lei 387 de 1997, mas foi um marco, na medida em que trouxe a atenção necessária ao assunto, reconheceu as necessidades específicas das PDI, aceitou a importância de uma abordagem às respostas com base nos direitos humanos e estabeleceu a responsabilidade institucional pela proteção e assistência à população deslocada do país.</w:t>
      </w:r>
    </w:p>
    <w:p w:rsidR="00F96206" w:rsidRDefault="00F12D5B">
      <w:pPr>
        <w:pStyle w:val="Corpsdetexte"/>
        <w:spacing w:before="1"/>
        <w:rPr>
          <w:sz w:val="21"/>
        </w:rPr>
      </w:pPr>
      <w:r>
        <w:pict>
          <v:group id="_x0000_s1052" style="position:absolute;margin-left:66.6pt;margin-top:14.85pt;width:459.15pt;height:18pt;z-index:-15728128;mso-wrap-distance-left:0;mso-wrap-distance-right:0;mso-position-horizontal-relative:page" coordorigin="1332,297" coordsize="9183,360">
            <v:shape id="_x0000_s1054" style="position:absolute;left:1332;top:296;width:9183;height:360" coordorigin="1332,297" coordsize="9183,360" path="m10514,297r-9168,l1332,297r,14l1332,657r14,l1346,311r9168,l10514,297xe" fillcolor="#5b9bd5" stroked="f">
              <v:path arrowok="t"/>
            </v:shape>
            <v:shape id="_x0000_s1053" type="#_x0000_t202" style="position:absolute;left:1332;top:296;width:9183;height:360" filled="f" stroked="f">
              <v:textbox inset="0,0,0,0">
                <w:txbxContent>
                  <w:p w:rsidR="00F96206" w:rsidRDefault="00F12D5B">
                    <w:pPr>
                      <w:spacing w:before="64"/>
                      <w:ind w:left="81"/>
                      <w:rPr>
                        <w:sz w:val="21"/>
                      </w:rPr>
                    </w:pPr>
                    <w:r>
                      <w:rPr>
                        <w:color w:val="1F4D78"/>
                        <w:sz w:val="21"/>
                      </w:rPr>
                      <w:t xml:space="preserve">POTENCIAL SENSIBILIDADE POLÍTICA: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96206" w:rsidRDefault="00F96206">
      <w:pPr>
        <w:pStyle w:val="Corpsdetexte"/>
        <w:spacing w:before="11"/>
        <w:rPr>
          <w:sz w:val="5"/>
        </w:rPr>
      </w:pPr>
    </w:p>
    <w:p w:rsidR="00F96206" w:rsidRDefault="00F12D5B">
      <w:pPr>
        <w:pStyle w:val="Corpsdetexte"/>
        <w:spacing w:before="107" w:line="290" w:lineRule="auto"/>
        <w:ind w:left="253" w:right="385"/>
      </w:pPr>
      <w:r>
        <w:t xml:space="preserve">A Nigéria ratificou a Convenção de Kampala em maio de 2012 e reescreveu o seu projeto de política sobre as PDI para incorporar as suas disposições.</w:t>
      </w:r>
      <w:r>
        <w:t xml:space="preserve"> </w:t>
      </w:r>
      <w:r>
        <w:t xml:space="preserve">Porém, em dezembro de 2014, o gabinete federal ainda não tinha adotado a política, apesar da causa ser defendida de forma permanente.</w:t>
      </w:r>
      <w:r>
        <w:t xml:space="preserve"> </w:t>
      </w:r>
      <w:r>
        <w:t xml:space="preserve">A ausência de definição de papéis e responsabilidades continua a dificultar a resposta humanitária e de desenvolvimento, uma abordagem holística para soluções duradouras e os esforços para prevenir e preparar as deslocações futuras.</w:t>
      </w:r>
    </w:p>
    <w:p w:rsidR="00F96206" w:rsidRDefault="00F12D5B">
      <w:pPr>
        <w:pStyle w:val="Corpsdetexte"/>
        <w:spacing w:before="11"/>
        <w:rPr>
          <w:sz w:val="20"/>
        </w:rPr>
      </w:pPr>
      <w:r>
        <w:pict>
          <v:group id="_x0000_s1049" style="position:absolute;margin-left:66.6pt;margin-top:14.7pt;width:459.15pt;height:18.25pt;z-index:-15727616;mso-wrap-distance-left:0;mso-wrap-distance-right:0;mso-position-horizontal-relative:page" coordorigin="1332,294" coordsize="9183,365">
            <v:shape id="_x0000_s1051" style="position:absolute;left:1332;top:294;width:9183;height:365" coordorigin="1332,294" coordsize="9183,365" path="m10514,294r-9168,l1332,294r,15l1332,659r14,l1346,309r9168,l10514,294xe" fillcolor="#5b9bd5" stroked="f">
              <v:path arrowok="t"/>
            </v:shape>
            <v:shape id="_x0000_s1050" type="#_x0000_t202" style="position:absolute;left:1332;top:294;width:9183;height:365" filled="f" stroked="f">
              <v:textbox inset="0,0,0,0">
                <w:txbxContent>
                  <w:p w:rsidR="00F96206" w:rsidRDefault="00F12D5B">
                    <w:pPr>
                      <w:spacing w:before="64"/>
                      <w:ind w:left="81"/>
                      <w:rPr>
                        <w:sz w:val="21"/>
                      </w:rPr>
                    </w:pPr>
                    <w:r>
                      <w:rPr>
                        <w:color w:val="1F4D78"/>
                        <w:sz w:val="21"/>
                      </w:rPr>
                      <w:t xml:space="preserve">INSTRUMENTOS SETORIAIS: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96206" w:rsidRDefault="00F96206">
      <w:pPr>
        <w:pStyle w:val="Corpsdetexte"/>
        <w:spacing w:before="11"/>
        <w:rPr>
          <w:sz w:val="5"/>
        </w:rPr>
      </w:pPr>
    </w:p>
    <w:p w:rsidR="00F96206" w:rsidRDefault="00F12D5B">
      <w:pPr>
        <w:pStyle w:val="Corpsdetexte"/>
        <w:spacing w:before="107" w:line="288" w:lineRule="auto"/>
        <w:ind w:left="253" w:right="385"/>
      </w:pPr>
      <w:r>
        <w:t xml:space="preserve">A Lei de Recuperação da Educação em Caso de Furacão dos EUA foi adotada após o furacão Katrina e, responde, entre outros aspetos, às necessidades dos alunos e professores deslocados.</w:t>
      </w:r>
    </w:p>
    <w:p w:rsidR="00F96206" w:rsidRDefault="00F96206">
      <w:pPr>
        <w:pStyle w:val="Corpsdetexte"/>
        <w:rPr>
          <w:sz w:val="20"/>
        </w:rPr>
      </w:pPr>
    </w:p>
    <w:p w:rsidR="00F96206" w:rsidRDefault="00F96206">
      <w:pPr>
        <w:pStyle w:val="Corpsdetexte"/>
        <w:rPr>
          <w:sz w:val="20"/>
        </w:rPr>
      </w:pPr>
    </w:p>
    <w:p w:rsidR="00F96206" w:rsidRDefault="00F96206">
      <w:pPr>
        <w:pStyle w:val="Corpsdetexte"/>
        <w:spacing w:before="4"/>
        <w:rPr>
          <w:sz w:val="21"/>
        </w:rPr>
      </w:pPr>
    </w:p>
    <w:p w:rsidR="00F96206" w:rsidRDefault="00F12D5B">
      <w:pPr>
        <w:pStyle w:val="Titre1"/>
        <w:tabs>
          <w:tab w:val="left" w:pos="9411"/>
        </w:tabs>
        <w:spacing w:before="0"/>
      </w:pPr>
      <w:r>
        <w:rPr>
          <w:shd w:val="clear" w:color="auto" w:fill="DEEAF6"/>
          <w:rFonts w:ascii="Times New Roman"/>
        </w:rPr>
        <w:t xml:space="preserve">  </w:t>
      </w:r>
      <w:r>
        <w:rPr>
          <w:shd w:val="clear" w:color="auto" w:fill="DEEAF6"/>
        </w:rPr>
        <w:t xml:space="preserve">ABRANGENTE OU PARCIAL?</w:t>
      </w:r>
      <w:r>
        <w:rPr>
          <w:shd w:val="clear" w:color="auto" w:fill="DEEAF6"/>
        </w:rPr>
        <w:tab/>
      </w:r>
    </w:p>
    <w:p w:rsidR="00F96206" w:rsidRDefault="00F96206">
      <w:pPr>
        <w:pStyle w:val="Corpsdetexte"/>
        <w:spacing w:before="3"/>
        <w:rPr>
          <w:sz w:val="16"/>
        </w:rPr>
      </w:pPr>
    </w:p>
    <w:p w:rsidR="00F96206" w:rsidRDefault="00F12D5B">
      <w:pPr>
        <w:pStyle w:val="Corpsdetexte"/>
        <w:spacing w:before="107" w:line="292" w:lineRule="auto"/>
        <w:ind w:left="253" w:right="272"/>
      </w:pPr>
      <w:r>
        <w:t xml:space="preserve">Limitar o âmbito de um instrumento nacional é possível e, em alguns casos, pode ser adequado.</w:t>
      </w:r>
      <w:r>
        <w:t xml:space="preserve"> </w:t>
      </w:r>
      <w:r>
        <w:t xml:space="preserve">Pode ser limitado a:</w:t>
      </w:r>
    </w:p>
    <w:p w:rsidR="00F96206" w:rsidRDefault="00F12D5B">
      <w:pPr>
        <w:pStyle w:val="Paragraphedeliste"/>
        <w:numPr>
          <w:ilvl w:val="0"/>
          <w:numId w:val="4"/>
        </w:numPr>
        <w:tabs>
          <w:tab w:val="left" w:pos="973"/>
          <w:tab w:val="left" w:pos="974"/>
        </w:tabs>
        <w:spacing w:before="197"/>
        <w:ind w:hanging="361"/>
        <w:rPr>
          <w:sz w:val="19"/>
        </w:rPr>
      </w:pPr>
      <w:r>
        <w:rPr>
          <w:sz w:val="19"/>
        </w:rPr>
        <w:t xml:space="preserve">Uma determinada causa de deslocação:</w:t>
      </w:r>
    </w:p>
    <w:p w:rsidR="00F96206" w:rsidRDefault="00F12D5B">
      <w:pPr>
        <w:pStyle w:val="Corpsdetexte"/>
        <w:spacing w:before="7"/>
        <w:rPr>
          <w:sz w:val="16"/>
        </w:rPr>
      </w:pPr>
      <w:r>
        <w:pict>
          <v:group id="_x0000_s1046" style="position:absolute;margin-left:123.7pt;margin-top:12.1pt;width:344.4pt;height:38.65pt;z-index:-15727104;mso-wrap-distance-left:0;mso-wrap-distance-right:0;mso-position-horizontal-relative:page" coordorigin="2474,242" coordsize="6888,773">
            <v:shape id="_x0000_s1048" style="position:absolute;left:2474;top:242;width:6888;height:773" coordorigin="2474,242" coordsize="6888,773" path="m9362,242r-6878,l2474,242r,10l2474,732r,283l2484,1015r,-283l2484,252r6878,l9362,242xe" fillcolor="#5b9bd5" stroked="f">
              <v:path arrowok="t"/>
            </v:shape>
            <v:shape id="_x0000_s1047" type="#_x0000_t202" style="position:absolute;left:2474;top:242;width:6888;height:773" filled="f" stroked="f">
              <v:textbox inset="0,0,0,0">
                <w:txbxContent>
                  <w:p w:rsidR="00F96206" w:rsidRDefault="00F96206">
                    <w:pPr>
                      <w:spacing w:before="9"/>
                      <w:rPr>
                        <w:sz w:val="17"/>
                      </w:rPr>
                    </w:pPr>
                  </w:p>
                  <w:p w:rsidR="00F96206" w:rsidRDefault="00F12D5B">
                    <w:pPr>
                      <w:spacing w:before="1" w:line="288" w:lineRule="auto"/>
                      <w:ind w:left="235" w:right="23"/>
                      <w:rPr>
                        <w:i/>
                        <w:sz w:val="19"/>
                      </w:rPr>
                    </w:pPr>
                    <w:r>
                      <w:rPr>
                        <w:i/>
                        <w:color w:val="5B9BD5"/>
                        <w:sz w:val="19"/>
                      </w:rPr>
                      <w:t xml:space="preserve">A política nacional de 2003 da Índia sobre recolocação e reabilitação para pessoas afetadas por projetos apenas aborda a deslocação causada por projetos de desenvolvimento.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96206" w:rsidRDefault="00F96206">
      <w:pPr>
        <w:pStyle w:val="Corpsdetexte"/>
        <w:spacing w:before="11"/>
        <w:rPr>
          <w:sz w:val="5"/>
        </w:rPr>
      </w:pPr>
    </w:p>
    <w:p w:rsidR="00F96206" w:rsidRDefault="00F12D5B">
      <w:pPr>
        <w:pStyle w:val="Paragraphedeliste"/>
        <w:numPr>
          <w:ilvl w:val="0"/>
          <w:numId w:val="4"/>
        </w:numPr>
        <w:tabs>
          <w:tab w:val="left" w:pos="973"/>
          <w:tab w:val="left" w:pos="974"/>
        </w:tabs>
        <w:spacing w:before="107"/>
        <w:ind w:hanging="361"/>
        <w:rPr>
          <w:sz w:val="19"/>
        </w:rPr>
      </w:pPr>
      <w:r>
        <w:rPr>
          <w:sz w:val="19"/>
        </w:rPr>
        <w:t xml:space="preserve">Uma determinada área geográfica.</w:t>
      </w:r>
    </w:p>
    <w:p w:rsidR="00F96206" w:rsidRDefault="00F96206">
      <w:pPr>
        <w:pStyle w:val="Corpsdetexte"/>
        <w:spacing w:before="7"/>
        <w:rPr>
          <w:sz w:val="26"/>
        </w:rPr>
      </w:pPr>
    </w:p>
    <w:p w:rsidR="00F96206" w:rsidRDefault="00F12D5B">
      <w:pPr>
        <w:pStyle w:val="Paragraphedeliste"/>
        <w:numPr>
          <w:ilvl w:val="0"/>
          <w:numId w:val="4"/>
        </w:numPr>
        <w:tabs>
          <w:tab w:val="left" w:pos="973"/>
          <w:tab w:val="left" w:pos="974"/>
        </w:tabs>
        <w:spacing w:before="0" w:line="292" w:lineRule="auto"/>
        <w:ind w:right="447"/>
        <w:rPr>
          <w:sz w:val="19"/>
        </w:rPr>
      </w:pPr>
      <w:r>
        <w:rPr>
          <w:sz w:val="19"/>
        </w:rPr>
        <w:t xml:space="preserve">Uma determinada fase de deslocação – esses instrumentos são desenvolvidos mais amiúde em resposta a situações prolongadas:</w:t>
      </w:r>
    </w:p>
    <w:p w:rsidR="00F96206" w:rsidRDefault="00F12D5B">
      <w:pPr>
        <w:pStyle w:val="Corpsdetexte"/>
        <w:spacing w:before="5"/>
        <w:rPr>
          <w:sz w:val="12"/>
        </w:rPr>
      </w:pPr>
      <w:r>
        <w:pict>
          <v:group id="_x0000_s1043" style="position:absolute;margin-left:123.7pt;margin-top:9.55pt;width:344.4pt;height:38.65pt;z-index:-15726592;mso-wrap-distance-left:0;mso-wrap-distance-right:0;mso-position-horizontal-relative:page" coordorigin="2474,191" coordsize="6888,773">
            <v:shape id="_x0000_s1045" style="position:absolute;left:2474;top:191;width:6888;height:773" coordorigin="2474,191" coordsize="6888,773" path="m9362,191r-6878,l2474,191r,10l2474,681r,283l2484,964r,-283l2484,201r6878,l9362,191xe" fillcolor="#5b9bd5" stroked="f">
              <v:path arrowok="t"/>
            </v:shape>
            <v:shape id="_x0000_s1044" type="#_x0000_t202" style="position:absolute;left:2474;top:191;width:6888;height:773" filled="f" stroked="f">
              <v:textbox inset="0,0,0,0">
                <w:txbxContent>
                  <w:p w:rsidR="00F96206" w:rsidRDefault="00F96206">
                    <w:pPr>
                      <w:spacing w:before="9"/>
                      <w:rPr>
                        <w:sz w:val="17"/>
                      </w:rPr>
                    </w:pPr>
                  </w:p>
                  <w:p w:rsidR="00F96206" w:rsidRDefault="00F12D5B">
                    <w:pPr>
                      <w:spacing w:before="1" w:line="288" w:lineRule="auto"/>
                      <w:ind w:left="235" w:right="23"/>
                      <w:rPr>
                        <w:i/>
                        <w:sz w:val="19"/>
                      </w:rPr>
                    </w:pPr>
                    <w:r>
                      <w:rPr>
                        <w:i/>
                        <w:color w:val="5B9BD5"/>
                        <w:sz w:val="19"/>
                      </w:rPr>
                      <w:t xml:space="preserve">O Azerbaijão, a Bósnia-Herzegovina e a República da Sérvia adotaram leis e políticas que apenas abordam o retorno e a recolocação.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96206" w:rsidRDefault="00F12D5B">
      <w:pPr>
        <w:pStyle w:val="Paragraphedeliste"/>
        <w:numPr>
          <w:ilvl w:val="0"/>
          <w:numId w:val="4"/>
        </w:numPr>
        <w:tabs>
          <w:tab w:val="left" w:pos="973"/>
          <w:tab w:val="left" w:pos="974"/>
        </w:tabs>
        <w:spacing w:before="174"/>
        <w:ind w:hanging="361"/>
        <w:rPr>
          <w:sz w:val="19"/>
        </w:rPr>
      </w:pPr>
      <w:r>
        <w:rPr>
          <w:sz w:val="19"/>
        </w:rPr>
        <w:t xml:space="preserve">Um determinado cronograma.</w:t>
      </w:r>
    </w:p>
    <w:p w:rsidR="00F96206" w:rsidRDefault="00F96206">
      <w:pPr>
        <w:rPr>
          <w:sz w:val="19"/>
        </w:rPr>
        <w:sectPr w:rsidR="00F96206">
          <w:pgSz w:w="11900" w:h="16820"/>
          <w:pgMar w:top="1340" w:right="1100" w:bottom="280" w:left="1160" w:header="708" w:footer="708" w:gutter="0"/>
          <w:cols w:space="708"/>
        </w:sectPr>
      </w:pPr>
    </w:p>
    <w:p w:rsidR="00F96206" w:rsidRDefault="00F12D5B">
      <w:pPr>
        <w:pStyle w:val="Corpsdetexte"/>
        <w:ind w:left="172"/>
        <w:rPr>
          <w:sz w:val="20"/>
        </w:rPr>
      </w:pPr>
      <w:r>
        <w:rPr>
          <w:sz w:val="20"/>
        </w:rPr>
        <w:pict>
          <v:group id="_x0000_s1040" style="width:459.15pt;height:18.25pt;mso-position-horizontal-relative:char;mso-position-vertical-relative:line" coordsize="9183,365">
            <v:shape id="_x0000_s1042" style="position:absolute;width:9183;height:365" coordsize="9183,365" path="m9182,l14,,,,,14,,365r14,l14,14r9168,l9182,xe" fillcolor="#5b9bd5" stroked="f">
              <v:path arrowok="t"/>
            </v:shape>
            <v:shape id="_x0000_s1041" type="#_x0000_t202" style="position:absolute;width:9183;height:365" filled="f" stroked="f">
              <v:textbox inset="0,0,0,0">
                <w:txbxContent>
                  <w:p w:rsidR="00F96206" w:rsidRDefault="00F12D5B">
                    <w:pPr>
                      <w:spacing w:before="64"/>
                      <w:ind w:left="81"/>
                      <w:rPr>
                        <w:sz w:val="21"/>
                      </w:rPr>
                    </w:pPr>
                    <w:r>
                      <w:rPr>
                        <w:color w:val="1F4D78"/>
                        <w:sz w:val="21"/>
                      </w:rPr>
                      <w:t xml:space="preserve">RISCO DE DISCRIMINAÇÃO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96206" w:rsidRDefault="00F12D5B">
      <w:pPr>
        <w:pStyle w:val="Corpsdetexte"/>
        <w:spacing w:before="166" w:line="290" w:lineRule="auto"/>
        <w:ind w:left="253" w:right="272"/>
      </w:pPr>
      <w:r>
        <w:t xml:space="preserve">“Ao limitar o âmbito de um instrumento nacional é importante estar ciente das possíveis consequências desse passo.</w:t>
      </w:r>
      <w:r>
        <w:t xml:space="preserve"> </w:t>
      </w:r>
      <w:r>
        <w:t xml:space="preserve">As limitações não devem ser discriminatórias, nem privar certas PDI do exercício dos seus direitos.”</w:t>
      </w:r>
    </w:p>
    <w:p w:rsidR="00F96206" w:rsidRDefault="00F96206">
      <w:pPr>
        <w:pStyle w:val="Corpsdetexte"/>
        <w:spacing w:before="2"/>
        <w:rPr>
          <w:sz w:val="13"/>
        </w:rPr>
      </w:pPr>
    </w:p>
    <w:p w:rsidR="00F96206" w:rsidRDefault="00F12D5B">
      <w:pPr>
        <w:pStyle w:val="Titre1"/>
        <w:tabs>
          <w:tab w:val="left" w:pos="9411"/>
        </w:tabs>
      </w:pPr>
      <w:r>
        <w:rPr>
          <w:shd w:val="clear" w:color="auto" w:fill="DEEAF6"/>
          <w:rFonts w:ascii="Times New Roman"/>
        </w:rPr>
        <w:t xml:space="preserve">  </w:t>
      </w:r>
      <w:r>
        <w:rPr>
          <w:shd w:val="clear" w:color="auto" w:fill="DEEAF6"/>
        </w:rPr>
        <w:t xml:space="preserve">QUAL DEVE SER O ÂMBITO MÍNIMO DE UM INSTRUMENTO?</w:t>
      </w:r>
      <w:r>
        <w:rPr>
          <w:shd w:val="clear" w:color="auto" w:fill="DEEAF6"/>
        </w:rPr>
        <w:tab/>
      </w:r>
    </w:p>
    <w:p w:rsidR="00F96206" w:rsidRDefault="00F96206">
      <w:pPr>
        <w:pStyle w:val="Corpsdetexte"/>
        <w:spacing w:before="3"/>
        <w:rPr>
          <w:sz w:val="16"/>
        </w:rPr>
      </w:pPr>
    </w:p>
    <w:p w:rsidR="00F96206" w:rsidRDefault="00F12D5B">
      <w:pPr>
        <w:pStyle w:val="Corpsdetexte"/>
        <w:spacing w:before="107" w:line="290" w:lineRule="auto"/>
        <w:ind w:left="253" w:right="272"/>
      </w:pPr>
      <w:r>
        <w:t xml:space="preserve">“Um instrumento nacional deve, no mínimo, responder aos desafios da situação de deslocação atual.</w:t>
      </w:r>
      <w:r>
        <w:t xml:space="preserve"> </w:t>
      </w:r>
      <w:r>
        <w:t xml:space="preserve">Deve também ser suficientemente flexível para prever e se adaptar às mudanças na situação.</w:t>
      </w:r>
      <w:r>
        <w:t xml:space="preserve"> </w:t>
      </w:r>
      <w:r>
        <w:t xml:space="preserve">Essencialmente, deve abranger a necessidade de obter soluções duradouras, uma vez que fornecerá a base necessária para a participação no processo duradouro e complexo dessa obtenção.”</w:t>
      </w:r>
      <w:r>
        <w:rPr>
          <w:vertAlign w:val="superscript"/>
        </w:rPr>
        <w:t xml:space="preserve">1</w:t>
      </w:r>
    </w:p>
    <w:p w:rsidR="00F96206" w:rsidRDefault="00F12D5B">
      <w:pPr>
        <w:pStyle w:val="Corpsdetexte"/>
        <w:spacing w:before="198" w:line="290" w:lineRule="auto"/>
        <w:ind w:left="253" w:right="385"/>
      </w:pPr>
      <w:r>
        <w:t xml:space="preserve">“O benefício destes instrumentos é que, por terem sido desenvolvidos em resposta a situações existentes de deslocação interna, refletem, em maior ou menor medida, os desafios institucionais, procedimentais e regulamentares específicos enfrentados pelas autoridades, pela sociedade civil e pelos deslocados internos na proteção dos direitos das PDI.</w:t>
      </w:r>
      <w:r>
        <w:t xml:space="preserve"> </w:t>
      </w:r>
      <w:r>
        <w:t xml:space="preserve">Porém, o seu âmbito é também limitado, o que deixa alguns dos problemas globais das PDI sem resposta.</w:t>
      </w:r>
    </w:p>
    <w:p w:rsidR="00F96206" w:rsidRDefault="00F12D5B">
      <w:pPr>
        <w:pStyle w:val="Corpsdetexte"/>
        <w:spacing w:line="290" w:lineRule="auto"/>
        <w:ind w:left="253" w:right="385"/>
      </w:pPr>
      <w:r>
        <w:t xml:space="preserve">Além disso, na prática, muitas destas leis e políticas não respondem a problemas fundamentais significativos, o que contribuiria para a sua implementação eficaz.</w:t>
      </w:r>
      <w:r>
        <w:t xml:space="preserve"> </w:t>
      </w:r>
      <w:r>
        <w:t xml:space="preserve">Por exemplo, podem não indicar uma descrição de PDI, não identificar as fontes de financiamento, nem providenciar um mecanismo para monitorizar as responsabilidades.”</w:t>
      </w:r>
      <w:r>
        <w:rPr>
          <w:vertAlign w:val="superscript"/>
        </w:rPr>
        <w:t xml:space="preserve">2</w:t>
      </w:r>
    </w:p>
    <w:p w:rsidR="00F96206" w:rsidRDefault="00F96206">
      <w:pPr>
        <w:pStyle w:val="Corpsdetexte"/>
        <w:spacing w:before="7"/>
        <w:rPr>
          <w:sz w:val="13"/>
        </w:rPr>
      </w:pPr>
    </w:p>
    <w:p w:rsidR="00F96206" w:rsidRDefault="00F12D5B">
      <w:pPr>
        <w:tabs>
          <w:tab w:val="left" w:pos="9411"/>
        </w:tabs>
        <w:spacing w:before="106"/>
        <w:ind w:left="167"/>
        <w:rPr>
          <w:b/>
          <w:sz w:val="21"/>
        </w:rPr>
      </w:pPr>
      <w:r>
        <w:rPr>
          <w:color w:val="FFFFFF"/>
          <w:sz w:val="21"/>
          <w:shd w:val="clear" w:color="auto" w:fill="5B9BD5"/>
          <w:rFonts w:ascii="Times New Roman"/>
        </w:rPr>
        <w:t xml:space="preserve">  </w:t>
      </w:r>
      <w:r>
        <w:rPr>
          <w:color w:val="FFFFFF"/>
          <w:sz w:val="21"/>
          <w:shd w:val="clear" w:color="auto" w:fill="5B9BD5"/>
          <w:b/>
        </w:rPr>
        <w:t xml:space="preserve">TIPO DE INSTRUMENTO</w:t>
      </w:r>
      <w:r>
        <w:rPr>
          <w:color w:val="FFFFFF"/>
          <w:sz w:val="21"/>
          <w:shd w:val="clear" w:color="auto" w:fill="5B9BD5"/>
          <w:b/>
        </w:rPr>
        <w:tab/>
      </w:r>
    </w:p>
    <w:p w:rsidR="00F96206" w:rsidRDefault="00F96206">
      <w:pPr>
        <w:pStyle w:val="Corpsdetexte"/>
        <w:rPr>
          <w:b/>
          <w:sz w:val="20"/>
        </w:rPr>
      </w:pPr>
    </w:p>
    <w:p w:rsidR="00F96206" w:rsidRDefault="00F96206">
      <w:pPr>
        <w:rPr>
          <w:sz w:val="20"/>
        </w:rPr>
        <w:sectPr w:rsidR="00F96206">
          <w:pgSz w:w="11900" w:h="16820"/>
          <w:pgMar w:top="1420" w:right="1100" w:bottom="280" w:left="1160" w:header="708" w:footer="708" w:gutter="0"/>
          <w:cols w:space="708"/>
        </w:sectPr>
      </w:pPr>
    </w:p>
    <w:p w:rsidR="00F96206" w:rsidRDefault="00F96206">
      <w:pPr>
        <w:pStyle w:val="Corpsdetexte"/>
        <w:spacing w:before="9"/>
        <w:rPr>
          <w:b/>
          <w:sz w:val="22"/>
        </w:rPr>
      </w:pPr>
    </w:p>
    <w:p w:rsidR="00F96206" w:rsidRDefault="00F12D5B">
      <w:pPr>
        <w:pStyle w:val="Titre2"/>
        <w:ind w:left="580"/>
      </w:pPr>
      <w:r>
        <w:pict>
          <v:group id="_x0000_s1033" style="position:absolute;left:0;text-align:left;margin-left:79.3pt;margin-top:-14pt;width:454.8pt;height:4in;z-index:-15877120;mso-position-horizontal-relative:page" coordorigin="1586,-280" coordsize="9096,5760">
            <v:shape id="_x0000_s1039" style="position:absolute;left:1605;top:-280;width:9053;height:5760" coordorigin="1606,-280" coordsize="9053,5760" o:spt="100" adj="0,,0" path="m6127,-280r-4521,l1606,-275r,67l1606,5480r4516,l6122,-208r5,l6127,-280xm10658,-275r-4516,l6142,5480r4516,l10658,-275xe" fillcolor="#f2f2f2" stroked="f">
              <v:stroke joinstyle="round"/>
              <v:formulas/>
              <v:path arrowok="t" o:connecttype="segments"/>
            </v:shape>
            <v:rect id="_x0000_s1038" style="position:absolute;left:6127;top:-280;width:20;height:72" stroked="f"/>
            <v:shape id="_x0000_s1037" style="position:absolute;left:1596;top:-280;width:9068;height:5760" coordorigin="1596,-280" coordsize="9068,5760" o:spt="100" adj="0,,0" path="m6137,5403r-4541,l1596,5475r,5l6137,5480r,-5l6137,5403xm10663,-280r-4517,l6146,-208r4517,l10663,-280xe" fillcolor="#f2f2f2" stroked="f">
              <v:stroke joinstyle="round"/>
              <v:formulas/>
              <v:path arrowok="t" o:connecttype="segments"/>
            </v:shape>
            <v:rect id="_x0000_s1036" style="position:absolute;left:1586;top:-208;width:20;height:5688" stroked="f"/>
            <v:shape id="_x0000_s1035" style="position:absolute;left:6136;top:5403;width:4536;height:77" coordorigin="6137,5403" coordsize="4536,77" path="m10673,5403r-4536,l6137,5475r,5l10673,5480r,-5l10673,5403xe" fillcolor="#f2f2f2" stroked="f">
              <v:path arrowok="t"/>
            </v:shape>
            <v:shape id="_x0000_s1034" style="position:absolute;left:6127;top:-208;width:4556;height:5688" coordorigin="6127,-208" coordsize="4556,5688" o:spt="100" adj="0,,0" path="m6146,-208r-19,l6127,5480r19,l6146,-208xm10682,-208r-19,l10663,5480r19,l10682,-208xe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color w:val="1F4D78"/>
        </w:rPr>
        <w:t xml:space="preserve">LEI</w:t>
      </w:r>
    </w:p>
    <w:p w:rsidR="00F96206" w:rsidRDefault="00F96206">
      <w:pPr>
        <w:pStyle w:val="Corpsdetexte"/>
        <w:spacing w:before="3"/>
        <w:rPr>
          <w:b/>
          <w:sz w:val="20"/>
        </w:rPr>
      </w:pPr>
    </w:p>
    <w:p w:rsidR="00F96206" w:rsidRDefault="00F12D5B">
      <w:pPr>
        <w:pStyle w:val="Paragraphedeliste"/>
        <w:numPr>
          <w:ilvl w:val="1"/>
          <w:numId w:val="4"/>
        </w:numPr>
        <w:tabs>
          <w:tab w:val="left" w:pos="1299"/>
          <w:tab w:val="left" w:pos="1300"/>
        </w:tabs>
        <w:spacing w:before="1"/>
        <w:rPr>
          <w:sz w:val="19"/>
        </w:rPr>
      </w:pPr>
      <w:r>
        <w:rPr>
          <w:sz w:val="19"/>
        </w:rPr>
        <w:t xml:space="preserve">Vinculativa.</w:t>
      </w:r>
    </w:p>
    <w:p w:rsidR="00F96206" w:rsidRDefault="00F12D5B">
      <w:pPr>
        <w:pStyle w:val="Paragraphedeliste"/>
        <w:numPr>
          <w:ilvl w:val="1"/>
          <w:numId w:val="4"/>
        </w:numPr>
        <w:tabs>
          <w:tab w:val="left" w:pos="1299"/>
          <w:tab w:val="left" w:pos="1300"/>
        </w:tabs>
        <w:rPr>
          <w:sz w:val="19"/>
        </w:rPr>
      </w:pPr>
      <w:r>
        <w:rPr>
          <w:sz w:val="19"/>
        </w:rPr>
        <w:t xml:space="preserve">Alicerce de um quadro nacional.</w:t>
      </w:r>
    </w:p>
    <w:p w:rsidR="00F96206" w:rsidRDefault="00F12D5B">
      <w:pPr>
        <w:pStyle w:val="Paragraphedeliste"/>
        <w:numPr>
          <w:ilvl w:val="1"/>
          <w:numId w:val="4"/>
        </w:numPr>
        <w:tabs>
          <w:tab w:val="left" w:pos="1299"/>
          <w:tab w:val="left" w:pos="1300"/>
        </w:tabs>
        <w:spacing w:before="46"/>
        <w:rPr>
          <w:sz w:val="19"/>
        </w:rPr>
      </w:pPr>
      <w:r>
        <w:rPr>
          <w:sz w:val="19"/>
        </w:rPr>
        <w:t xml:space="preserve">Adotada por uma lei do parlamento.</w:t>
      </w:r>
    </w:p>
    <w:p w:rsidR="00F96206" w:rsidRDefault="00F96206">
      <w:pPr>
        <w:pStyle w:val="Corpsdetexte"/>
        <w:spacing w:before="4"/>
        <w:rPr>
          <w:sz w:val="20"/>
        </w:rPr>
      </w:pPr>
    </w:p>
    <w:p w:rsidR="00F96206" w:rsidRDefault="00F12D5B">
      <w:pPr>
        <w:pStyle w:val="Titre2"/>
        <w:ind w:left="580"/>
      </w:pPr>
      <w:r>
        <w:t xml:space="preserve">Enfoque</w:t>
      </w:r>
    </w:p>
    <w:p w:rsidR="00F96206" w:rsidRDefault="00F96206">
      <w:pPr>
        <w:pStyle w:val="Corpsdetexte"/>
        <w:spacing w:before="9"/>
        <w:rPr>
          <w:b/>
          <w:sz w:val="20"/>
        </w:rPr>
      </w:pPr>
    </w:p>
    <w:p w:rsidR="00F96206" w:rsidRDefault="00F12D5B">
      <w:pPr>
        <w:pStyle w:val="Paragraphedeliste"/>
        <w:numPr>
          <w:ilvl w:val="1"/>
          <w:numId w:val="4"/>
        </w:numPr>
        <w:tabs>
          <w:tab w:val="left" w:pos="1299"/>
          <w:tab w:val="left" w:pos="1300"/>
        </w:tabs>
        <w:spacing w:before="0"/>
        <w:rPr>
          <w:sz w:val="19"/>
        </w:rPr>
      </w:pPr>
      <w:r>
        <w:rPr>
          <w:sz w:val="19"/>
        </w:rPr>
        <w:t xml:space="preserve">Cria direitos para os indivíduos.</w:t>
      </w:r>
    </w:p>
    <w:p w:rsidR="00F96206" w:rsidRDefault="00F12D5B">
      <w:pPr>
        <w:pStyle w:val="Paragraphedeliste"/>
        <w:numPr>
          <w:ilvl w:val="1"/>
          <w:numId w:val="4"/>
        </w:numPr>
        <w:tabs>
          <w:tab w:val="left" w:pos="1299"/>
          <w:tab w:val="left" w:pos="1300"/>
        </w:tabs>
        <w:spacing w:before="47"/>
        <w:rPr>
          <w:sz w:val="19"/>
        </w:rPr>
      </w:pPr>
      <w:r>
        <w:rPr>
          <w:sz w:val="19"/>
        </w:rPr>
        <w:t xml:space="preserve">Define obrigações.</w:t>
      </w:r>
    </w:p>
    <w:p w:rsidR="00F96206" w:rsidRDefault="00F12D5B">
      <w:pPr>
        <w:pStyle w:val="Paragraphedeliste"/>
        <w:numPr>
          <w:ilvl w:val="1"/>
          <w:numId w:val="4"/>
        </w:numPr>
        <w:tabs>
          <w:tab w:val="left" w:pos="1299"/>
          <w:tab w:val="left" w:pos="1300"/>
        </w:tabs>
        <w:rPr>
          <w:sz w:val="19"/>
        </w:rPr>
      </w:pPr>
      <w:r>
        <w:rPr>
          <w:sz w:val="19"/>
        </w:rPr>
        <w:t xml:space="preserve">Designa a responsabilidade.</w:t>
      </w:r>
    </w:p>
    <w:p w:rsidR="00F96206" w:rsidRDefault="00F12D5B">
      <w:pPr>
        <w:pStyle w:val="Paragraphedeliste"/>
        <w:numPr>
          <w:ilvl w:val="1"/>
          <w:numId w:val="4"/>
        </w:numPr>
        <w:tabs>
          <w:tab w:val="left" w:pos="1299"/>
          <w:tab w:val="left" w:pos="1300"/>
        </w:tabs>
        <w:spacing w:before="46" w:line="292" w:lineRule="auto"/>
        <w:ind w:right="77"/>
        <w:rPr>
          <w:sz w:val="19"/>
        </w:rPr>
      </w:pPr>
      <w:r>
        <w:rPr>
          <w:sz w:val="19"/>
        </w:rPr>
        <w:t xml:space="preserve">Mais adequada para responder a alguns problemas - direitos, HTP e mecanismos penais.</w:t>
      </w:r>
    </w:p>
    <w:p w:rsidR="00F96206" w:rsidRDefault="00F12D5B">
      <w:pPr>
        <w:pStyle w:val="Corpsdetexte"/>
        <w:spacing w:before="198" w:line="290" w:lineRule="auto"/>
        <w:ind w:left="580" w:right="-11"/>
      </w:pPr>
      <w:r>
        <w:rPr>
          <w:b/>
        </w:rPr>
        <w:t xml:space="preserve">Nota:</w:t>
      </w:r>
      <w:r>
        <w:rPr>
          <w:b/>
        </w:rPr>
        <w:t xml:space="preserve"> </w:t>
      </w:r>
      <w:r>
        <w:t xml:space="preserve">devido ao período de tempo necessário para a aprovação e adoção, muitas vezes não são úteis em situações urgentes.</w:t>
      </w:r>
    </w:p>
    <w:p w:rsidR="00F96206" w:rsidRDefault="00F12D5B">
      <w:pPr>
        <w:pStyle w:val="Corpsdetexte"/>
        <w:spacing w:before="199" w:line="288" w:lineRule="auto"/>
        <w:ind w:left="580" w:right="-8"/>
      </w:pPr>
      <w:r>
        <w:rPr>
          <w:b/>
        </w:rPr>
        <w:t xml:space="preserve">Exemplos</w:t>
      </w:r>
      <w:r>
        <w:t xml:space="preserve">:</w:t>
      </w:r>
      <w:r>
        <w:t xml:space="preserve"> </w:t>
      </w:r>
      <w:r>
        <w:t xml:space="preserve">Lei 387 da Colômbia de 1997, lei sobre as PDI do Quénia de 2012 e lei sobre as PDI da Ucrânia de 2014.</w:t>
      </w:r>
    </w:p>
    <w:p w:rsidR="00F96206" w:rsidRDefault="00F12D5B">
      <w:pPr>
        <w:pStyle w:val="Corpsdetexte"/>
        <w:spacing w:before="9"/>
        <w:rPr>
          <w:sz w:val="22"/>
        </w:rPr>
      </w:pPr>
      <w:r>
        <w:br w:type="column"/>
      </w:r>
    </w:p>
    <w:p w:rsidR="00F96206" w:rsidRDefault="00F12D5B">
      <w:pPr>
        <w:pStyle w:val="Titre2"/>
        <w:ind w:left="343"/>
      </w:pPr>
      <w:r>
        <w:rPr>
          <w:color w:val="1F4D78"/>
        </w:rPr>
        <w:t xml:space="preserve">POLÍTICA</w:t>
      </w:r>
    </w:p>
    <w:p w:rsidR="00F96206" w:rsidRDefault="00F96206">
      <w:pPr>
        <w:pStyle w:val="Corpsdetexte"/>
        <w:spacing w:before="3"/>
        <w:rPr>
          <w:b/>
          <w:sz w:val="20"/>
        </w:rPr>
      </w:pPr>
    </w:p>
    <w:p w:rsidR="00F96206" w:rsidRDefault="00F12D5B">
      <w:pPr>
        <w:pStyle w:val="Paragraphedeliste"/>
        <w:numPr>
          <w:ilvl w:val="0"/>
          <w:numId w:val="3"/>
        </w:numPr>
        <w:tabs>
          <w:tab w:val="left" w:pos="1063"/>
          <w:tab w:val="left" w:pos="1064"/>
        </w:tabs>
        <w:spacing w:before="1"/>
        <w:ind w:hanging="361"/>
        <w:rPr>
          <w:sz w:val="19"/>
        </w:rPr>
      </w:pPr>
      <w:r>
        <w:rPr>
          <w:sz w:val="19"/>
        </w:rPr>
        <w:t xml:space="preserve">Não vinculativa.</w:t>
      </w:r>
    </w:p>
    <w:p w:rsidR="00F96206" w:rsidRDefault="00F12D5B">
      <w:pPr>
        <w:pStyle w:val="Paragraphedeliste"/>
        <w:numPr>
          <w:ilvl w:val="0"/>
          <w:numId w:val="3"/>
        </w:numPr>
        <w:tabs>
          <w:tab w:val="left" w:pos="1063"/>
          <w:tab w:val="left" w:pos="1064"/>
        </w:tabs>
        <w:ind w:hanging="361"/>
        <w:rPr>
          <w:sz w:val="19"/>
        </w:rPr>
      </w:pPr>
      <w:r>
        <w:rPr>
          <w:sz w:val="19"/>
        </w:rPr>
        <w:t xml:space="preserve">Pode preceder ou implementar legislação.</w:t>
      </w:r>
    </w:p>
    <w:p w:rsidR="00F96206" w:rsidRDefault="00F96206">
      <w:pPr>
        <w:pStyle w:val="Corpsdetexte"/>
        <w:rPr>
          <w:sz w:val="24"/>
        </w:rPr>
      </w:pPr>
    </w:p>
    <w:p w:rsidR="00F96206" w:rsidRDefault="00F96206">
      <w:pPr>
        <w:pStyle w:val="Corpsdetexte"/>
        <w:spacing w:before="1"/>
      </w:pPr>
    </w:p>
    <w:p w:rsidR="00F96206" w:rsidRDefault="00F12D5B">
      <w:pPr>
        <w:pStyle w:val="Titre2"/>
        <w:spacing w:before="1"/>
        <w:ind w:left="343"/>
      </w:pPr>
      <w:r>
        <w:t xml:space="preserve">Enfoque</w:t>
      </w:r>
    </w:p>
    <w:p w:rsidR="00F96206" w:rsidRDefault="00F96206">
      <w:pPr>
        <w:pStyle w:val="Corpsdetexte"/>
        <w:spacing w:before="8"/>
        <w:rPr>
          <w:b/>
          <w:sz w:val="20"/>
        </w:rPr>
      </w:pPr>
    </w:p>
    <w:p w:rsidR="00F96206" w:rsidRDefault="00F12D5B">
      <w:pPr>
        <w:pStyle w:val="Paragraphedeliste"/>
        <w:numPr>
          <w:ilvl w:val="0"/>
          <w:numId w:val="3"/>
        </w:numPr>
        <w:tabs>
          <w:tab w:val="left" w:pos="1063"/>
          <w:tab w:val="left" w:pos="1064"/>
        </w:tabs>
        <w:spacing w:before="0"/>
        <w:ind w:hanging="361"/>
        <w:rPr>
          <w:sz w:val="19"/>
        </w:rPr>
      </w:pPr>
      <w:r>
        <w:rPr>
          <w:sz w:val="19"/>
        </w:rPr>
        <w:t xml:space="preserve">Processos de tomada de decisões.</w:t>
      </w:r>
    </w:p>
    <w:p w:rsidR="00F96206" w:rsidRDefault="00F12D5B">
      <w:pPr>
        <w:pStyle w:val="Paragraphedeliste"/>
        <w:numPr>
          <w:ilvl w:val="0"/>
          <w:numId w:val="3"/>
        </w:numPr>
        <w:tabs>
          <w:tab w:val="left" w:pos="1063"/>
          <w:tab w:val="left" w:pos="1064"/>
        </w:tabs>
        <w:spacing w:before="47"/>
        <w:ind w:hanging="361"/>
        <w:rPr>
          <w:sz w:val="19"/>
        </w:rPr>
      </w:pPr>
      <w:r>
        <w:rPr>
          <w:sz w:val="19"/>
        </w:rPr>
        <w:t xml:space="preserve">Mecanismos de coordenação.</w:t>
      </w:r>
    </w:p>
    <w:p w:rsidR="00F96206" w:rsidRDefault="00F12D5B">
      <w:pPr>
        <w:pStyle w:val="Paragraphedeliste"/>
        <w:numPr>
          <w:ilvl w:val="0"/>
          <w:numId w:val="3"/>
        </w:numPr>
        <w:tabs>
          <w:tab w:val="left" w:pos="1063"/>
          <w:tab w:val="left" w:pos="1064"/>
        </w:tabs>
        <w:ind w:hanging="361"/>
        <w:rPr>
          <w:sz w:val="19"/>
        </w:rPr>
      </w:pPr>
      <w:r>
        <w:rPr>
          <w:sz w:val="19"/>
        </w:rPr>
        <w:t xml:space="preserve">Diretrizes e procedimentos operacionais.</w:t>
      </w:r>
    </w:p>
    <w:p w:rsidR="00F96206" w:rsidRDefault="00F96206">
      <w:pPr>
        <w:pStyle w:val="Corpsdetexte"/>
        <w:spacing w:before="4"/>
        <w:rPr>
          <w:sz w:val="20"/>
        </w:rPr>
      </w:pPr>
    </w:p>
    <w:p w:rsidR="00F96206" w:rsidRDefault="00F12D5B">
      <w:pPr>
        <w:pStyle w:val="Corpsdetexte"/>
        <w:spacing w:line="290" w:lineRule="auto"/>
        <w:ind w:left="343" w:right="371"/>
      </w:pPr>
      <w:r>
        <w:rPr>
          <w:b/>
        </w:rPr>
        <w:t xml:space="preserve">Exemplos:</w:t>
      </w:r>
      <w:r>
        <w:rPr>
          <w:b/>
        </w:rPr>
        <w:t xml:space="preserve"> </w:t>
      </w:r>
      <w:r>
        <w:t xml:space="preserve">política nacional sobre as PDI do Uganda de 2004, política nacional sobre as deslocações internas do Afeganistão de 2013, e política nacional de resposta às deslocações internas do Iémen de 2014.</w:t>
      </w:r>
    </w:p>
    <w:p w:rsidR="00F96206" w:rsidRDefault="00F96206">
      <w:pPr>
        <w:spacing w:line="290" w:lineRule="auto"/>
        <w:sectPr w:rsidR="00F96206">
          <w:type w:val="continuous"/>
          <w:pgSz w:w="11900" w:h="16820"/>
          <w:pgMar w:top="900" w:right="1100" w:bottom="280" w:left="1160" w:header="708" w:footer="708" w:gutter="0"/>
          <w:cols w:num="2" w:space="708" w:equalWidth="0">
            <w:col w:w="4733" w:space="40"/>
            <w:col w:w="4867"/>
          </w:cols>
        </w:sectPr>
      </w:pPr>
    </w:p>
    <w:p w:rsidR="00F96206" w:rsidRDefault="00F96206">
      <w:pPr>
        <w:pStyle w:val="Corpsdetexte"/>
        <w:rPr>
          <w:sz w:val="20"/>
        </w:rPr>
      </w:pPr>
    </w:p>
    <w:p w:rsidR="00F96206" w:rsidRDefault="00F96206">
      <w:pPr>
        <w:pStyle w:val="Corpsdetexte"/>
        <w:spacing w:before="10"/>
        <w:rPr>
          <w:sz w:val="20"/>
        </w:rPr>
      </w:pPr>
    </w:p>
    <w:p w:rsidR="00F96206" w:rsidRDefault="00F12D5B">
      <w:pPr>
        <w:pStyle w:val="Corpsdetexte"/>
        <w:spacing w:line="20" w:lineRule="exact"/>
        <w:ind w:left="253"/>
        <w:rPr>
          <w:sz w:val="2"/>
        </w:rPr>
      </w:pPr>
      <w:r>
        <w:rPr>
          <w:sz w:val="2"/>
        </w:rPr>
        <w:pict>
          <v:group id="_x0000_s1031" style="width:2in;height:.75pt;mso-position-horizontal-relative:char;mso-position-vertical-relative:line" coordsize="2880,15">
            <v:rect id="_x0000_s1032" style="position:absolute;width:2880;height:15" fillcolor="black" stroked="f"/>
            <w10:wrap type="none"/>
            <w10:anchorlock/>
          </v:group>
        </w:pict>
      </w:r>
    </w:p>
    <w:p w:rsidR="00F96206" w:rsidRDefault="00F96206">
      <w:pPr>
        <w:pStyle w:val="Corpsdetexte"/>
        <w:rPr>
          <w:sz w:val="20"/>
        </w:rPr>
      </w:pPr>
    </w:p>
    <w:p w:rsidR="00F96206" w:rsidRDefault="00F96206">
      <w:pPr>
        <w:pStyle w:val="Corpsdetexte"/>
        <w:spacing w:before="8"/>
        <w:rPr>
          <w:sz w:val="23"/>
        </w:rPr>
      </w:pPr>
    </w:p>
    <w:p w:rsidR="00F96206" w:rsidRDefault="00F12D5B">
      <w:pPr>
        <w:pStyle w:val="Corpsdetexte"/>
        <w:spacing w:line="247" w:lineRule="auto"/>
        <w:ind w:left="253" w:right="385"/>
      </w:pPr>
      <w:r>
        <w:rPr>
          <w:vertAlign w:val="superscript"/>
        </w:rPr>
        <w:t xml:space="preserve">1</w:t>
      </w:r>
      <w:r>
        <w:t xml:space="preserve"> IDMC/Brookings, Instrumentos Nacionais sobre as Deslocações Internas:</w:t>
      </w:r>
      <w:r>
        <w:t xml:space="preserve"> </w:t>
      </w:r>
      <w:r>
        <w:t xml:space="preserve">Guia para o seu Desenvolvimento, 2013, disponível em</w:t>
      </w:r>
      <w:r>
        <w:t xml:space="preserve"> </w:t>
      </w:r>
      <w:hyperlink r:id="rId10">
        <w:r>
          <w:rPr>
            <w:color w:val="0563C1"/>
            <w:u w:val="single" w:color="0563C1"/>
          </w:rPr>
          <w:t xml:space="preserve">http://goo.gl/iXiA6B</w:t>
        </w:r>
      </w:hyperlink>
      <w:r>
        <w:t xml:space="preserve">.</w:t>
      </w:r>
    </w:p>
    <w:p w:rsidR="00F96206" w:rsidRDefault="00F12D5B">
      <w:pPr>
        <w:pStyle w:val="Corpsdetexte"/>
        <w:spacing w:before="209" w:line="254" w:lineRule="auto"/>
        <w:ind w:left="253"/>
      </w:pPr>
      <w:r>
        <w:rPr>
          <w:vertAlign w:val="superscript"/>
        </w:rPr>
        <w:t xml:space="preserve">2</w:t>
      </w:r>
      <w:r>
        <w:t xml:space="preserve"> Brookings Institution, Uma tendência em desenvolvimento:</w:t>
      </w:r>
      <w:r>
        <w:t xml:space="preserve"> </w:t>
      </w:r>
      <w:r>
        <w:t xml:space="preserve">Leis e políticas sobre deslocações internas, 2006, disponível em</w:t>
      </w:r>
      <w:r>
        <w:t xml:space="preserve"> </w:t>
      </w:r>
      <w:hyperlink r:id="rId11">
        <w:r>
          <w:rPr>
            <w:color w:val="0563C1"/>
            <w:u w:val="single" w:color="0563C1"/>
          </w:rPr>
          <w:t xml:space="preserve">http://goo.gl/VO4Tb5</w:t>
        </w:r>
      </w:hyperlink>
      <w:r>
        <w:t xml:space="preserve">.</w:t>
      </w:r>
    </w:p>
    <w:p w:rsidR="00F96206" w:rsidRDefault="00F96206">
      <w:pPr>
        <w:spacing w:line="254" w:lineRule="auto"/>
        <w:sectPr w:rsidR="00F96206">
          <w:type w:val="continuous"/>
          <w:pgSz w:w="11900" w:h="16820"/>
          <w:pgMar w:top="900" w:right="1100" w:bottom="280" w:left="1160" w:header="708" w:footer="708" w:gutter="0"/>
          <w:cols w:space="708"/>
        </w:sectPr>
      </w:pPr>
    </w:p>
    <w:p w:rsidR="00F96206" w:rsidRDefault="00F12D5B">
      <w:pPr>
        <w:ind w:left="445"/>
        <w:rPr>
          <w:sz w:val="20"/>
        </w:rPr>
      </w:pPr>
      <w:r>
        <w:rPr>
          <w:sz w:val="20"/>
        </w:rPr>
        <w:pict>
          <v:shape id="_x0000_s1030" type="#_x0000_t202" style="width:226.1pt;height:165.6pt;mso-left-percent:-10001;mso-top-percent:-10001;mso-position-horizontal:absolute;mso-position-horizontal-relative:char;mso-position-vertical:absolute;mso-position-vertical-relative:line;mso-left-percent:-10001;mso-top-percent:-10001" fillcolor="#f2f2f2" stroked="f">
            <v:textbox inset="0,0,0,0">
              <w:txbxContent>
                <w:p w:rsidR="00F96206" w:rsidRDefault="00F96206">
                  <w:pPr>
                    <w:pStyle w:val="Corpsdetexte"/>
                    <w:spacing w:before="11"/>
                    <w:rPr>
                      <w:sz w:val="22"/>
                    </w:rPr>
                  </w:pPr>
                </w:p>
                <w:p w:rsidR="00F96206" w:rsidRDefault="00F12D5B">
                  <w:pPr>
                    <w:ind w:left="134"/>
                    <w:rPr>
                      <w:b/>
                      <w:sz w:val="19"/>
                    </w:rPr>
                  </w:pPr>
                  <w:r>
                    <w:rPr>
                      <w:b/>
                      <w:color w:val="1F4D78"/>
                      <w:sz w:val="19"/>
                    </w:rPr>
                    <w:t xml:space="preserve">ESTRATÉGIA</w:t>
                  </w:r>
                </w:p>
                <w:p w:rsidR="00F96206" w:rsidRDefault="00F96206">
                  <w:pPr>
                    <w:pStyle w:val="Corpsdetexte"/>
                    <w:spacing w:before="9"/>
                    <w:rPr>
                      <w:b/>
                      <w:sz w:val="20"/>
                    </w:rPr>
                  </w:pPr>
                </w:p>
                <w:p w:rsidR="00F96206" w:rsidRDefault="00F12D5B">
                  <w:pPr>
                    <w:ind w:left="134"/>
                    <w:rPr>
                      <w:b/>
                      <w:sz w:val="19"/>
                    </w:rPr>
                  </w:pPr>
                  <w:r>
                    <w:rPr>
                      <w:b/>
                      <w:sz w:val="19"/>
                    </w:rPr>
                    <w:t xml:space="preserve">Enfoque</w:t>
                  </w:r>
                </w:p>
                <w:p w:rsidR="00F96206" w:rsidRDefault="00F96206">
                  <w:pPr>
                    <w:pStyle w:val="Corpsdetexte"/>
                    <w:spacing w:before="3"/>
                    <w:rPr>
                      <w:b/>
                      <w:sz w:val="20"/>
                    </w:rPr>
                  </w:pPr>
                </w:p>
                <w:p w:rsidR="00F96206" w:rsidRDefault="00F12D5B">
                  <w:pPr>
                    <w:pStyle w:val="Corpsdetexte"/>
                    <w:numPr>
                      <w:ilvl w:val="0"/>
                      <w:numId w:val="2"/>
                    </w:numPr>
                    <w:tabs>
                      <w:tab w:val="left" w:pos="854"/>
                      <w:tab w:val="left" w:pos="855"/>
                    </w:tabs>
                    <w:spacing w:before="1" w:line="288" w:lineRule="auto"/>
                    <w:ind w:right="448"/>
                  </w:pPr>
                  <w:r>
                    <w:t xml:space="preserve">Finalidades, objetivos e resultados de uma lei, política ou plano de ação.</w:t>
                  </w:r>
                </w:p>
                <w:p w:rsidR="00F96206" w:rsidRDefault="00F12D5B">
                  <w:pPr>
                    <w:spacing w:before="201"/>
                    <w:ind w:left="134"/>
                    <w:rPr>
                      <w:sz w:val="19"/>
                    </w:rPr>
                  </w:pPr>
                  <w:r>
                    <w:rPr>
                      <w:sz w:val="19"/>
                      <w:b/>
                    </w:rPr>
                    <w:t xml:space="preserve">Exemplos:</w:t>
                  </w:r>
                  <w:r>
                    <w:rPr>
                      <w:sz w:val="19"/>
                      <w:b/>
                    </w:rPr>
                    <w:t xml:space="preserve"> </w:t>
                  </w:r>
                  <w:r>
                    <w:rPr>
                      <w:sz w:val="19"/>
                    </w:rPr>
                    <w:t xml:space="preserve">Timor-Leste.</w:t>
                  </w:r>
                </w:p>
              </w:txbxContent>
            </v:textbox>
            <w10:wrap type="none"/>
            <w10:anchorlock/>
          </v:shape>
        </w:pict>
      </w:r>
      <w:r>
        <w:rPr>
          <w:sz w:val="20"/>
          <w:rFonts w:ascii="Times New Roman"/>
        </w:rPr>
        <w:t xml:space="preserve"> </w:t>
      </w:r>
      <w:r>
        <w:pict>
          <v:shape id="_x0000_s1029" type="#_x0000_t202" style="width:225.85pt;height:165.6pt;mso-left-percent:-10001;mso-top-percent:-10001;mso-position-horizontal:absolute;mso-position-horizontal-relative:char;mso-position-vertical:absolute;mso-position-vertical-relative:line;mso-left-percent:-10001;mso-top-percent:-10001" fillcolor="#f2f2f2" stroked="f">
            <v:textbox inset="0,0,0,0">
              <w:txbxContent>
                <w:p w:rsidR="00F96206" w:rsidRDefault="00F96206">
                  <w:pPr>
                    <w:pStyle w:val="Corpsdetexte"/>
                    <w:spacing w:before="3"/>
                    <w:rPr>
                      <w:rFonts w:ascii="Times New Roman"/>
                      <w:sz w:val="24"/>
                    </w:rPr>
                  </w:pPr>
                </w:p>
                <w:p w:rsidR="00F96206" w:rsidRDefault="00F12D5B">
                  <w:pPr>
                    <w:spacing w:before="1"/>
                    <w:ind w:left="129"/>
                    <w:rPr>
                      <w:b/>
                      <w:sz w:val="19"/>
                    </w:rPr>
                  </w:pPr>
                  <w:r>
                    <w:rPr>
                      <w:b/>
                      <w:color w:val="1F4D78"/>
                      <w:sz w:val="19"/>
                    </w:rPr>
                    <w:t xml:space="preserve">PLANO DE AÇÃO</w:t>
                  </w:r>
                </w:p>
                <w:p w:rsidR="00F96206" w:rsidRDefault="00F96206">
                  <w:pPr>
                    <w:pStyle w:val="Corpsdetexte"/>
                    <w:spacing w:before="8"/>
                    <w:rPr>
                      <w:b/>
                      <w:sz w:val="20"/>
                    </w:rPr>
                  </w:pPr>
                </w:p>
                <w:p w:rsidR="00F96206" w:rsidRDefault="00F12D5B">
                  <w:pPr>
                    <w:pStyle w:val="Corpsdetexte"/>
                    <w:numPr>
                      <w:ilvl w:val="0"/>
                      <w:numId w:val="1"/>
                    </w:numPr>
                    <w:tabs>
                      <w:tab w:val="left" w:pos="849"/>
                      <w:tab w:val="left" w:pos="850"/>
                    </w:tabs>
                    <w:spacing w:line="288" w:lineRule="auto"/>
                    <w:ind w:right="176"/>
                  </w:pPr>
                  <w:r>
                    <w:t xml:space="preserve">Adequado a situações urgentes, também utilizado para implementar leis.</w:t>
                  </w:r>
                </w:p>
                <w:p w:rsidR="00F96206" w:rsidRDefault="00F12D5B">
                  <w:pPr>
                    <w:spacing w:before="202"/>
                    <w:ind w:left="238"/>
                    <w:rPr>
                      <w:b/>
                      <w:sz w:val="19"/>
                    </w:rPr>
                  </w:pPr>
                  <w:r>
                    <w:rPr>
                      <w:b/>
                      <w:sz w:val="19"/>
                    </w:rPr>
                    <w:t xml:space="preserve">Enfoque</w:t>
                  </w:r>
                </w:p>
                <w:p w:rsidR="00F96206" w:rsidRDefault="00F96206">
                  <w:pPr>
                    <w:pStyle w:val="Corpsdetexte"/>
                    <w:spacing w:before="4"/>
                    <w:rPr>
                      <w:b/>
                      <w:sz w:val="20"/>
                    </w:rPr>
                  </w:pPr>
                </w:p>
                <w:p w:rsidR="00F96206" w:rsidRDefault="00F12D5B">
                  <w:pPr>
                    <w:pStyle w:val="Corpsdetexte"/>
                    <w:numPr>
                      <w:ilvl w:val="0"/>
                      <w:numId w:val="1"/>
                    </w:numPr>
                    <w:tabs>
                      <w:tab w:val="left" w:pos="849"/>
                      <w:tab w:val="left" w:pos="850"/>
                    </w:tabs>
                    <w:ind w:hanging="361"/>
                  </w:pPr>
                  <w:r>
                    <w:t xml:space="preserve">Esclarece as responsabilidades e tarefas.</w:t>
                  </w:r>
                </w:p>
                <w:p w:rsidR="00F96206" w:rsidRDefault="00F96206">
                  <w:pPr>
                    <w:pStyle w:val="Corpsdetexte"/>
                    <w:spacing w:before="9"/>
                    <w:rPr>
                      <w:sz w:val="20"/>
                    </w:rPr>
                  </w:pPr>
                </w:p>
                <w:p w:rsidR="00F96206" w:rsidRDefault="00F12D5B">
                  <w:pPr>
                    <w:pStyle w:val="Corpsdetexte"/>
                    <w:spacing w:line="288" w:lineRule="auto"/>
                    <w:ind w:left="129"/>
                  </w:pPr>
                  <w:r>
                    <w:rPr>
                      <w:b/>
                    </w:rPr>
                    <w:t xml:space="preserve">Exemplos:</w:t>
                  </w:r>
                  <w:r>
                    <w:rPr>
                      <w:b/>
                    </w:rPr>
                    <w:t xml:space="preserve"> </w:t>
                  </w:r>
                  <w:r>
                    <w:t xml:space="preserve">plano de ação provincial da Turquia para responder às necessidades das PDI em Van, de 2006.</w:t>
                  </w:r>
                </w:p>
              </w:txbxContent>
            </v:textbox>
            <w10:wrap type="none"/>
            <w10:anchorlock/>
          </v:shape>
        </w:pict>
      </w:r>
    </w:p>
    <w:p w:rsidR="00F96206" w:rsidRDefault="00F96206">
      <w:pPr>
        <w:pStyle w:val="Corpsdetexte"/>
        <w:spacing w:before="3"/>
        <w:rPr>
          <w:sz w:val="13"/>
        </w:rPr>
      </w:pPr>
    </w:p>
    <w:p w:rsidR="00F96206" w:rsidRDefault="00F12D5B">
      <w:pPr>
        <w:pStyle w:val="Titre1"/>
        <w:tabs>
          <w:tab w:val="left" w:pos="9411"/>
        </w:tabs>
      </w:pPr>
      <w:r>
        <w:pict>
          <v:shape id="_x0000_s1028" style="position:absolute;left:0;text-align:left;margin-left:306.35pt;margin-top:-175pt;width:1pt;height:165.6pt;z-index:15733760;mso-position-horizontal-relative:page" coordorigin="6127,-3500" coordsize="20,3312" path="m6146,-3500r-19,l6127,-3424r,3236l6146,-188r,-3236l6146,-3500xe" stroked="f">
            <v:path arrowok="t"/>
            <w10:wrap anchorx="page"/>
          </v:shape>
        </w:pict>
      </w:r>
      <w:r>
        <w:pict>
          <v:rect id="_x0000_s1027" style="position:absolute;left:0;text-align:left;margin-left:79.3pt;margin-top:-171.2pt;width:.95pt;height:161.75pt;z-index:15734272;mso-position-horizontal-relative:page" stroked="f">
            <w10:wrap anchorx="page"/>
          </v:rect>
        </w:pict>
      </w:r>
      <w:r>
        <w:pict>
          <v:rect id="_x0000_s1026" style="position:absolute;left:0;text-align:left;margin-left:533.15pt;margin-top:-171.2pt;width:.95pt;height:161.75pt;z-index:15734784;mso-position-horizontal-relative:page" stroked="f">
            <w10:wrap anchorx="page"/>
          </v:rect>
        </w:pict>
      </w:r>
      <w:r>
        <w:rPr>
          <w:shd w:val="clear" w:color="auto" w:fill="DEEAF6"/>
          <w:rFonts w:ascii="Times New Roman"/>
        </w:rPr>
        <w:t xml:space="preserve">  </w:t>
      </w:r>
      <w:r>
        <w:rPr>
          <w:shd w:val="clear" w:color="auto" w:fill="DEEAF6"/>
        </w:rPr>
        <w:t xml:space="preserve">ESTRATÉGIA</w:t>
      </w:r>
      <w:r>
        <w:rPr>
          <w:shd w:val="clear" w:color="auto" w:fill="DEEAF6"/>
        </w:rPr>
        <w:tab/>
      </w:r>
    </w:p>
    <w:p w:rsidR="00F96206" w:rsidRDefault="00F96206">
      <w:pPr>
        <w:pStyle w:val="Corpsdetexte"/>
        <w:spacing w:before="3"/>
        <w:rPr>
          <w:sz w:val="16"/>
        </w:rPr>
      </w:pPr>
    </w:p>
    <w:p w:rsidR="00F96206" w:rsidRDefault="00F12D5B">
      <w:pPr>
        <w:pStyle w:val="Corpsdetexte"/>
        <w:spacing w:before="106" w:line="290" w:lineRule="auto"/>
        <w:ind w:left="253" w:right="385"/>
      </w:pPr>
      <w:r>
        <w:t xml:space="preserve">Em dezembro de 2007, o governo de Timor-Leste lançou </w:t>
      </w:r>
      <w:r>
        <w:rPr>
          <w:i/>
        </w:rPr>
        <w:t xml:space="preserve">Hamutuk Hari’i Futuru </w:t>
      </w:r>
      <w:r>
        <w:t xml:space="preserve">ou Construir o Futuro Juntos, uma estratégia de recuperação nacional que visava responder às deslocações como parte de um plano abrangente.</w:t>
      </w:r>
      <w:r>
        <w:t xml:space="preserve"> </w:t>
      </w:r>
      <w:r>
        <w:t xml:space="preserve">A estratégia assenta em cinco pilares - abrigo e habitação, proteção social, segurança e estabilidade, desenvolvimento socioeconómico e confiança, construção e reconciliação.</w:t>
      </w:r>
      <w:r>
        <w:t xml:space="preserve"> </w:t>
      </w:r>
      <w:r>
        <w:t xml:space="preserve">Um dos objetivos definidos era ajudar a remover os obstáculos que impediam o retorno das PDI e ajudá-las a obter soluções duradouras.</w:t>
      </w:r>
    </w:p>
    <w:p w:rsidR="00F96206" w:rsidRDefault="00F12D5B">
      <w:pPr>
        <w:pStyle w:val="Corpsdetexte"/>
        <w:spacing w:before="200" w:line="290" w:lineRule="auto"/>
        <w:ind w:left="253" w:right="342"/>
      </w:pPr>
      <w:r>
        <w:t xml:space="preserve">A estratégia reconheceu as três opções de habitação ao dispor das PDI.</w:t>
      </w:r>
      <w:r>
        <w:t xml:space="preserve"> </w:t>
      </w:r>
      <w:r>
        <w:t xml:space="preserve">As que podiam e estavam dispostas a regressar a casa eram elegíveis para um subsídio de recuperação pecuniária até um valor máximo de 4500 dólares americanos, com base na extensão dos danos na sua propriedade, ou uma habitação básica e 1500 dólares americanos se a sua habitação tivesse sofrido danos irreparáveis.</w:t>
      </w:r>
      <w:r>
        <w:t xml:space="preserve"> </w:t>
      </w:r>
      <w:r>
        <w:t xml:space="preserve">As que não podiam ou não estavam dispostas a regressar a casa podiam usar o seu subsídio de recuperação pecuniária para construir uma casa num terreno estatal, ou fixar-se numa habitação básica num local de recolocação.</w:t>
      </w:r>
      <w:r>
        <w:t xml:space="preserve"> </w:t>
      </w:r>
      <w:r>
        <w:t xml:space="preserve">A recolocação temporária num local de abrigo transitório foi oferecida às que estavam dispostas a regressar, mas não podiam fazê-lo de imediato.</w:t>
      </w:r>
    </w:p>
    <w:sectPr w:rsidR="00F96206">
      <w:pgSz w:w="11900" w:h="16820"/>
      <w:pgMar w:top="1480" w:right="1100" w:bottom="280" w:left="11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E3847"/>
    <w:multiLevelType w:val="hybridMultilevel"/>
    <w:tmpl w:val="740C8852"/>
    <w:lvl w:ilvl="0" w:tplc="28EA0568">
      <w:numFmt w:val="bullet"/>
      <w:lvlText w:val=""/>
      <w:lvlJc w:val="left"/>
      <w:pPr>
        <w:ind w:left="854" w:hanging="360"/>
      </w:pPr>
      <w:rPr>
        <w:rFonts w:ascii="Wingdings" w:eastAsia="Wingdings" w:hAnsi="Wingdings" w:cs="Wingdings" w:hint="default"/>
        <w:color w:val="1F4E79"/>
        <w:w w:val="103"/>
        <w:sz w:val="19"/>
        <w:szCs w:val="19"/>
      </w:rPr>
    </w:lvl>
    <w:lvl w:ilvl="1" w:tplc="BE0C6E0E">
      <w:numFmt w:val="bullet"/>
      <w:lvlText w:val="•"/>
      <w:lvlJc w:val="left"/>
      <w:pPr>
        <w:ind w:left="1226" w:hanging="360"/>
      </w:pPr>
      <w:rPr>
        <w:rFonts w:hint="default"/>
      </w:rPr>
    </w:lvl>
    <w:lvl w:ilvl="2" w:tplc="7CFA2A6E">
      <w:numFmt w:val="bullet"/>
      <w:lvlText w:val="•"/>
      <w:lvlJc w:val="left"/>
      <w:pPr>
        <w:ind w:left="1592" w:hanging="360"/>
      </w:pPr>
      <w:rPr>
        <w:rFonts w:hint="default"/>
      </w:rPr>
    </w:lvl>
    <w:lvl w:ilvl="3" w:tplc="0F0EFD3A">
      <w:numFmt w:val="bullet"/>
      <w:lvlText w:val="•"/>
      <w:lvlJc w:val="left"/>
      <w:pPr>
        <w:ind w:left="1958" w:hanging="360"/>
      </w:pPr>
      <w:rPr>
        <w:rFonts w:hint="default"/>
      </w:rPr>
    </w:lvl>
    <w:lvl w:ilvl="4" w:tplc="376C825C">
      <w:numFmt w:val="bullet"/>
      <w:lvlText w:val="•"/>
      <w:lvlJc w:val="left"/>
      <w:pPr>
        <w:ind w:left="2324" w:hanging="360"/>
      </w:pPr>
      <w:rPr>
        <w:rFonts w:hint="default"/>
      </w:rPr>
    </w:lvl>
    <w:lvl w:ilvl="5" w:tplc="9708815A">
      <w:numFmt w:val="bullet"/>
      <w:lvlText w:val="•"/>
      <w:lvlJc w:val="left"/>
      <w:pPr>
        <w:ind w:left="2690" w:hanging="360"/>
      </w:pPr>
      <w:rPr>
        <w:rFonts w:hint="default"/>
      </w:rPr>
    </w:lvl>
    <w:lvl w:ilvl="6" w:tplc="FCB8C022">
      <w:numFmt w:val="bullet"/>
      <w:lvlText w:val="•"/>
      <w:lvlJc w:val="left"/>
      <w:pPr>
        <w:ind w:left="3056" w:hanging="360"/>
      </w:pPr>
      <w:rPr>
        <w:rFonts w:hint="default"/>
      </w:rPr>
    </w:lvl>
    <w:lvl w:ilvl="7" w:tplc="94B0C854">
      <w:numFmt w:val="bullet"/>
      <w:lvlText w:val="•"/>
      <w:lvlJc w:val="left"/>
      <w:pPr>
        <w:ind w:left="3423" w:hanging="360"/>
      </w:pPr>
      <w:rPr>
        <w:rFonts w:hint="default"/>
      </w:rPr>
    </w:lvl>
    <w:lvl w:ilvl="8" w:tplc="C77C890C">
      <w:numFmt w:val="bullet"/>
      <w:lvlText w:val="•"/>
      <w:lvlJc w:val="left"/>
      <w:pPr>
        <w:ind w:left="3789" w:hanging="360"/>
      </w:pPr>
      <w:rPr>
        <w:rFonts w:hint="default"/>
      </w:rPr>
    </w:lvl>
  </w:abstractNum>
  <w:abstractNum w:abstractNumId="1" w15:restartNumberingAfterBreak="0">
    <w:nsid w:val="0FAE3FD9"/>
    <w:multiLevelType w:val="hybridMultilevel"/>
    <w:tmpl w:val="30FEC768"/>
    <w:lvl w:ilvl="0" w:tplc="8D9ADB10">
      <w:numFmt w:val="bullet"/>
      <w:lvlText w:val=""/>
      <w:lvlJc w:val="left"/>
      <w:pPr>
        <w:ind w:left="1063" w:hanging="360"/>
      </w:pPr>
      <w:rPr>
        <w:rFonts w:ascii="Wingdings" w:eastAsia="Wingdings" w:hAnsi="Wingdings" w:cs="Wingdings" w:hint="default"/>
        <w:color w:val="1F4E79"/>
        <w:w w:val="103"/>
        <w:sz w:val="19"/>
        <w:szCs w:val="19"/>
      </w:rPr>
    </w:lvl>
    <w:lvl w:ilvl="1" w:tplc="96EE97B0">
      <w:numFmt w:val="bullet"/>
      <w:lvlText w:val="•"/>
      <w:lvlJc w:val="left"/>
      <w:pPr>
        <w:ind w:left="1440" w:hanging="360"/>
      </w:pPr>
      <w:rPr>
        <w:rFonts w:hint="default"/>
      </w:rPr>
    </w:lvl>
    <w:lvl w:ilvl="2" w:tplc="E18EC8E8">
      <w:numFmt w:val="bullet"/>
      <w:lvlText w:val="•"/>
      <w:lvlJc w:val="left"/>
      <w:pPr>
        <w:ind w:left="1821" w:hanging="360"/>
      </w:pPr>
      <w:rPr>
        <w:rFonts w:hint="default"/>
      </w:rPr>
    </w:lvl>
    <w:lvl w:ilvl="3" w:tplc="15C23636">
      <w:numFmt w:val="bullet"/>
      <w:lvlText w:val="•"/>
      <w:lvlJc w:val="left"/>
      <w:pPr>
        <w:ind w:left="2202" w:hanging="360"/>
      </w:pPr>
      <w:rPr>
        <w:rFonts w:hint="default"/>
      </w:rPr>
    </w:lvl>
    <w:lvl w:ilvl="4" w:tplc="3000EC32">
      <w:numFmt w:val="bullet"/>
      <w:lvlText w:val="•"/>
      <w:lvlJc w:val="left"/>
      <w:pPr>
        <w:ind w:left="2582" w:hanging="360"/>
      </w:pPr>
      <w:rPr>
        <w:rFonts w:hint="default"/>
      </w:rPr>
    </w:lvl>
    <w:lvl w:ilvl="5" w:tplc="C3A638C0">
      <w:numFmt w:val="bullet"/>
      <w:lvlText w:val="•"/>
      <w:lvlJc w:val="left"/>
      <w:pPr>
        <w:ind w:left="2963" w:hanging="360"/>
      </w:pPr>
      <w:rPr>
        <w:rFonts w:hint="default"/>
      </w:rPr>
    </w:lvl>
    <w:lvl w:ilvl="6" w:tplc="7040C828">
      <w:numFmt w:val="bullet"/>
      <w:lvlText w:val="•"/>
      <w:lvlJc w:val="left"/>
      <w:pPr>
        <w:ind w:left="3344" w:hanging="360"/>
      </w:pPr>
      <w:rPr>
        <w:rFonts w:hint="default"/>
      </w:rPr>
    </w:lvl>
    <w:lvl w:ilvl="7" w:tplc="2E1C4E34">
      <w:numFmt w:val="bullet"/>
      <w:lvlText w:val="•"/>
      <w:lvlJc w:val="left"/>
      <w:pPr>
        <w:ind w:left="3725" w:hanging="360"/>
      </w:pPr>
      <w:rPr>
        <w:rFonts w:hint="default"/>
      </w:rPr>
    </w:lvl>
    <w:lvl w:ilvl="8" w:tplc="A40CDB5C">
      <w:numFmt w:val="bullet"/>
      <w:lvlText w:val="•"/>
      <w:lvlJc w:val="left"/>
      <w:pPr>
        <w:ind w:left="4105" w:hanging="360"/>
      </w:pPr>
      <w:rPr>
        <w:rFonts w:hint="default"/>
      </w:rPr>
    </w:lvl>
  </w:abstractNum>
  <w:abstractNum w:abstractNumId="2" w15:restartNumberingAfterBreak="0">
    <w:nsid w:val="285A39F8"/>
    <w:multiLevelType w:val="hybridMultilevel"/>
    <w:tmpl w:val="3594D7B0"/>
    <w:lvl w:ilvl="0" w:tplc="2A0084EE">
      <w:numFmt w:val="bullet"/>
      <w:lvlText w:val=""/>
      <w:lvlJc w:val="left"/>
      <w:pPr>
        <w:ind w:left="589" w:hanging="360"/>
      </w:pPr>
      <w:rPr>
        <w:rFonts w:ascii="Wingdings" w:eastAsia="Wingdings" w:hAnsi="Wingdings" w:cs="Wingdings" w:hint="default"/>
        <w:color w:val="1F4E79"/>
        <w:w w:val="103"/>
        <w:sz w:val="19"/>
        <w:szCs w:val="19"/>
      </w:rPr>
    </w:lvl>
    <w:lvl w:ilvl="1" w:tplc="0D420CDA">
      <w:numFmt w:val="bullet"/>
      <w:lvlText w:val="•"/>
      <w:lvlJc w:val="left"/>
      <w:pPr>
        <w:ind w:left="917" w:hanging="360"/>
      </w:pPr>
      <w:rPr>
        <w:rFonts w:hint="default"/>
      </w:rPr>
    </w:lvl>
    <w:lvl w:ilvl="2" w:tplc="8196BAF2">
      <w:numFmt w:val="bullet"/>
      <w:lvlText w:val="•"/>
      <w:lvlJc w:val="left"/>
      <w:pPr>
        <w:ind w:left="1254" w:hanging="360"/>
      </w:pPr>
      <w:rPr>
        <w:rFonts w:hint="default"/>
      </w:rPr>
    </w:lvl>
    <w:lvl w:ilvl="3" w:tplc="825A16D6">
      <w:numFmt w:val="bullet"/>
      <w:lvlText w:val="•"/>
      <w:lvlJc w:val="left"/>
      <w:pPr>
        <w:ind w:left="1591" w:hanging="360"/>
      </w:pPr>
      <w:rPr>
        <w:rFonts w:hint="default"/>
      </w:rPr>
    </w:lvl>
    <w:lvl w:ilvl="4" w:tplc="77068B1E">
      <w:numFmt w:val="bullet"/>
      <w:lvlText w:val="•"/>
      <w:lvlJc w:val="left"/>
      <w:pPr>
        <w:ind w:left="1928" w:hanging="360"/>
      </w:pPr>
      <w:rPr>
        <w:rFonts w:hint="default"/>
      </w:rPr>
    </w:lvl>
    <w:lvl w:ilvl="5" w:tplc="68422B98">
      <w:numFmt w:val="bullet"/>
      <w:lvlText w:val="•"/>
      <w:lvlJc w:val="left"/>
      <w:pPr>
        <w:ind w:left="2265" w:hanging="360"/>
      </w:pPr>
      <w:rPr>
        <w:rFonts w:hint="default"/>
      </w:rPr>
    </w:lvl>
    <w:lvl w:ilvl="6" w:tplc="E17623BC">
      <w:numFmt w:val="bullet"/>
      <w:lvlText w:val="•"/>
      <w:lvlJc w:val="left"/>
      <w:pPr>
        <w:ind w:left="2602" w:hanging="360"/>
      </w:pPr>
      <w:rPr>
        <w:rFonts w:hint="default"/>
      </w:rPr>
    </w:lvl>
    <w:lvl w:ilvl="7" w:tplc="4088206E">
      <w:numFmt w:val="bullet"/>
      <w:lvlText w:val="•"/>
      <w:lvlJc w:val="left"/>
      <w:pPr>
        <w:ind w:left="2939" w:hanging="360"/>
      </w:pPr>
      <w:rPr>
        <w:rFonts w:hint="default"/>
      </w:rPr>
    </w:lvl>
    <w:lvl w:ilvl="8" w:tplc="9BDA6136">
      <w:numFmt w:val="bullet"/>
      <w:lvlText w:val="•"/>
      <w:lvlJc w:val="left"/>
      <w:pPr>
        <w:ind w:left="3276" w:hanging="360"/>
      </w:pPr>
      <w:rPr>
        <w:rFonts w:hint="default"/>
      </w:rPr>
    </w:lvl>
  </w:abstractNum>
  <w:abstractNum w:abstractNumId="3" w15:restartNumberingAfterBreak="0">
    <w:nsid w:val="3BB72620"/>
    <w:multiLevelType w:val="hybridMultilevel"/>
    <w:tmpl w:val="80E2BEE4"/>
    <w:lvl w:ilvl="0" w:tplc="E01A0586">
      <w:numFmt w:val="bullet"/>
      <w:lvlText w:val=""/>
      <w:lvlJc w:val="left"/>
      <w:pPr>
        <w:ind w:left="589" w:hanging="360"/>
      </w:pPr>
      <w:rPr>
        <w:rFonts w:ascii="Wingdings" w:eastAsia="Wingdings" w:hAnsi="Wingdings" w:cs="Wingdings" w:hint="default"/>
        <w:color w:val="1F4E79"/>
        <w:w w:val="103"/>
        <w:sz w:val="19"/>
        <w:szCs w:val="19"/>
      </w:rPr>
    </w:lvl>
    <w:lvl w:ilvl="1" w:tplc="51385C6C">
      <w:numFmt w:val="bullet"/>
      <w:lvlText w:val="•"/>
      <w:lvlJc w:val="left"/>
      <w:pPr>
        <w:ind w:left="909" w:hanging="360"/>
      </w:pPr>
      <w:rPr>
        <w:rFonts w:hint="default"/>
      </w:rPr>
    </w:lvl>
    <w:lvl w:ilvl="2" w:tplc="15DE261C">
      <w:numFmt w:val="bullet"/>
      <w:lvlText w:val="•"/>
      <w:lvlJc w:val="left"/>
      <w:pPr>
        <w:ind w:left="1238" w:hanging="360"/>
      </w:pPr>
      <w:rPr>
        <w:rFonts w:hint="default"/>
      </w:rPr>
    </w:lvl>
    <w:lvl w:ilvl="3" w:tplc="4F1EABD2">
      <w:numFmt w:val="bullet"/>
      <w:lvlText w:val="•"/>
      <w:lvlJc w:val="left"/>
      <w:pPr>
        <w:ind w:left="1567" w:hanging="360"/>
      </w:pPr>
      <w:rPr>
        <w:rFonts w:hint="default"/>
      </w:rPr>
    </w:lvl>
    <w:lvl w:ilvl="4" w:tplc="4412DC22">
      <w:numFmt w:val="bullet"/>
      <w:lvlText w:val="•"/>
      <w:lvlJc w:val="left"/>
      <w:pPr>
        <w:ind w:left="1897" w:hanging="360"/>
      </w:pPr>
      <w:rPr>
        <w:rFonts w:hint="default"/>
      </w:rPr>
    </w:lvl>
    <w:lvl w:ilvl="5" w:tplc="AAD06A56">
      <w:numFmt w:val="bullet"/>
      <w:lvlText w:val="•"/>
      <w:lvlJc w:val="left"/>
      <w:pPr>
        <w:ind w:left="2226" w:hanging="360"/>
      </w:pPr>
      <w:rPr>
        <w:rFonts w:hint="default"/>
      </w:rPr>
    </w:lvl>
    <w:lvl w:ilvl="6" w:tplc="0584EB7E">
      <w:numFmt w:val="bullet"/>
      <w:lvlText w:val="•"/>
      <w:lvlJc w:val="left"/>
      <w:pPr>
        <w:ind w:left="2555" w:hanging="360"/>
      </w:pPr>
      <w:rPr>
        <w:rFonts w:hint="default"/>
      </w:rPr>
    </w:lvl>
    <w:lvl w:ilvl="7" w:tplc="02A23E50">
      <w:numFmt w:val="bullet"/>
      <w:lvlText w:val="•"/>
      <w:lvlJc w:val="left"/>
      <w:pPr>
        <w:ind w:left="2885" w:hanging="360"/>
      </w:pPr>
      <w:rPr>
        <w:rFonts w:hint="default"/>
      </w:rPr>
    </w:lvl>
    <w:lvl w:ilvl="8" w:tplc="0C30DEF8">
      <w:numFmt w:val="bullet"/>
      <w:lvlText w:val="•"/>
      <w:lvlJc w:val="left"/>
      <w:pPr>
        <w:ind w:left="3214" w:hanging="360"/>
      </w:pPr>
      <w:rPr>
        <w:rFonts w:hint="default"/>
      </w:rPr>
    </w:lvl>
  </w:abstractNum>
  <w:abstractNum w:abstractNumId="4" w15:restartNumberingAfterBreak="0">
    <w:nsid w:val="619D2298"/>
    <w:multiLevelType w:val="hybridMultilevel"/>
    <w:tmpl w:val="9B2C5B0C"/>
    <w:lvl w:ilvl="0" w:tplc="41EC7FC2">
      <w:numFmt w:val="bullet"/>
      <w:lvlText w:val=""/>
      <w:lvlJc w:val="left"/>
      <w:pPr>
        <w:ind w:left="589" w:hanging="360"/>
      </w:pPr>
      <w:rPr>
        <w:rFonts w:ascii="Wingdings" w:eastAsia="Wingdings" w:hAnsi="Wingdings" w:cs="Wingdings" w:hint="default"/>
        <w:color w:val="1F4E79"/>
        <w:w w:val="103"/>
        <w:sz w:val="19"/>
        <w:szCs w:val="19"/>
      </w:rPr>
    </w:lvl>
    <w:lvl w:ilvl="1" w:tplc="B76895B0">
      <w:numFmt w:val="bullet"/>
      <w:lvlText w:val="•"/>
      <w:lvlJc w:val="left"/>
      <w:pPr>
        <w:ind w:left="909" w:hanging="360"/>
      </w:pPr>
      <w:rPr>
        <w:rFonts w:hint="default"/>
      </w:rPr>
    </w:lvl>
    <w:lvl w:ilvl="2" w:tplc="3036EF5E">
      <w:numFmt w:val="bullet"/>
      <w:lvlText w:val="•"/>
      <w:lvlJc w:val="left"/>
      <w:pPr>
        <w:ind w:left="1238" w:hanging="360"/>
      </w:pPr>
      <w:rPr>
        <w:rFonts w:hint="default"/>
      </w:rPr>
    </w:lvl>
    <w:lvl w:ilvl="3" w:tplc="83A2761A">
      <w:numFmt w:val="bullet"/>
      <w:lvlText w:val="•"/>
      <w:lvlJc w:val="left"/>
      <w:pPr>
        <w:ind w:left="1567" w:hanging="360"/>
      </w:pPr>
      <w:rPr>
        <w:rFonts w:hint="default"/>
      </w:rPr>
    </w:lvl>
    <w:lvl w:ilvl="4" w:tplc="3A1818F2">
      <w:numFmt w:val="bullet"/>
      <w:lvlText w:val="•"/>
      <w:lvlJc w:val="left"/>
      <w:pPr>
        <w:ind w:left="1897" w:hanging="360"/>
      </w:pPr>
      <w:rPr>
        <w:rFonts w:hint="default"/>
      </w:rPr>
    </w:lvl>
    <w:lvl w:ilvl="5" w:tplc="82B615E6">
      <w:numFmt w:val="bullet"/>
      <w:lvlText w:val="•"/>
      <w:lvlJc w:val="left"/>
      <w:pPr>
        <w:ind w:left="2226" w:hanging="360"/>
      </w:pPr>
      <w:rPr>
        <w:rFonts w:hint="default"/>
      </w:rPr>
    </w:lvl>
    <w:lvl w:ilvl="6" w:tplc="642084EC">
      <w:numFmt w:val="bullet"/>
      <w:lvlText w:val="•"/>
      <w:lvlJc w:val="left"/>
      <w:pPr>
        <w:ind w:left="2555" w:hanging="360"/>
      </w:pPr>
      <w:rPr>
        <w:rFonts w:hint="default"/>
      </w:rPr>
    </w:lvl>
    <w:lvl w:ilvl="7" w:tplc="CC30C3C8">
      <w:numFmt w:val="bullet"/>
      <w:lvlText w:val="•"/>
      <w:lvlJc w:val="left"/>
      <w:pPr>
        <w:ind w:left="2885" w:hanging="360"/>
      </w:pPr>
      <w:rPr>
        <w:rFonts w:hint="default"/>
      </w:rPr>
    </w:lvl>
    <w:lvl w:ilvl="8" w:tplc="7D664CCE">
      <w:numFmt w:val="bullet"/>
      <w:lvlText w:val="•"/>
      <w:lvlJc w:val="left"/>
      <w:pPr>
        <w:ind w:left="3214" w:hanging="360"/>
      </w:pPr>
      <w:rPr>
        <w:rFonts w:hint="default"/>
      </w:rPr>
    </w:lvl>
  </w:abstractNum>
  <w:abstractNum w:abstractNumId="5" w15:restartNumberingAfterBreak="0">
    <w:nsid w:val="652E58C7"/>
    <w:multiLevelType w:val="hybridMultilevel"/>
    <w:tmpl w:val="1B248D3C"/>
    <w:lvl w:ilvl="0" w:tplc="B1E648E0">
      <w:numFmt w:val="bullet"/>
      <w:lvlText w:val=""/>
      <w:lvlJc w:val="left"/>
      <w:pPr>
        <w:ind w:left="589" w:hanging="360"/>
      </w:pPr>
      <w:rPr>
        <w:rFonts w:ascii="Wingdings" w:eastAsia="Wingdings" w:hAnsi="Wingdings" w:cs="Wingdings" w:hint="default"/>
        <w:color w:val="1F4E79"/>
        <w:w w:val="103"/>
        <w:sz w:val="19"/>
        <w:szCs w:val="19"/>
      </w:rPr>
    </w:lvl>
    <w:lvl w:ilvl="1" w:tplc="3B3E1578">
      <w:numFmt w:val="bullet"/>
      <w:lvlText w:val="•"/>
      <w:lvlJc w:val="left"/>
      <w:pPr>
        <w:ind w:left="917" w:hanging="360"/>
      </w:pPr>
      <w:rPr>
        <w:rFonts w:hint="default"/>
      </w:rPr>
    </w:lvl>
    <w:lvl w:ilvl="2" w:tplc="1A58ED86">
      <w:numFmt w:val="bullet"/>
      <w:lvlText w:val="•"/>
      <w:lvlJc w:val="left"/>
      <w:pPr>
        <w:ind w:left="1254" w:hanging="360"/>
      </w:pPr>
      <w:rPr>
        <w:rFonts w:hint="default"/>
      </w:rPr>
    </w:lvl>
    <w:lvl w:ilvl="3" w:tplc="E286AC02">
      <w:numFmt w:val="bullet"/>
      <w:lvlText w:val="•"/>
      <w:lvlJc w:val="left"/>
      <w:pPr>
        <w:ind w:left="1591" w:hanging="360"/>
      </w:pPr>
      <w:rPr>
        <w:rFonts w:hint="default"/>
      </w:rPr>
    </w:lvl>
    <w:lvl w:ilvl="4" w:tplc="76C6E794">
      <w:numFmt w:val="bullet"/>
      <w:lvlText w:val="•"/>
      <w:lvlJc w:val="left"/>
      <w:pPr>
        <w:ind w:left="1928" w:hanging="360"/>
      </w:pPr>
      <w:rPr>
        <w:rFonts w:hint="default"/>
      </w:rPr>
    </w:lvl>
    <w:lvl w:ilvl="5" w:tplc="C33ED4CA">
      <w:numFmt w:val="bullet"/>
      <w:lvlText w:val="•"/>
      <w:lvlJc w:val="left"/>
      <w:pPr>
        <w:ind w:left="2265" w:hanging="360"/>
      </w:pPr>
      <w:rPr>
        <w:rFonts w:hint="default"/>
      </w:rPr>
    </w:lvl>
    <w:lvl w:ilvl="6" w:tplc="D57EFFA8">
      <w:numFmt w:val="bullet"/>
      <w:lvlText w:val="•"/>
      <w:lvlJc w:val="left"/>
      <w:pPr>
        <w:ind w:left="2602" w:hanging="360"/>
      </w:pPr>
      <w:rPr>
        <w:rFonts w:hint="default"/>
      </w:rPr>
    </w:lvl>
    <w:lvl w:ilvl="7" w:tplc="9D846D8E">
      <w:numFmt w:val="bullet"/>
      <w:lvlText w:val="•"/>
      <w:lvlJc w:val="left"/>
      <w:pPr>
        <w:ind w:left="2939" w:hanging="360"/>
      </w:pPr>
      <w:rPr>
        <w:rFonts w:hint="default"/>
      </w:rPr>
    </w:lvl>
    <w:lvl w:ilvl="8" w:tplc="7C0E9690">
      <w:numFmt w:val="bullet"/>
      <w:lvlText w:val="•"/>
      <w:lvlJc w:val="left"/>
      <w:pPr>
        <w:ind w:left="3276" w:hanging="360"/>
      </w:pPr>
      <w:rPr>
        <w:rFonts w:hint="default"/>
      </w:rPr>
    </w:lvl>
  </w:abstractNum>
  <w:abstractNum w:abstractNumId="6" w15:restartNumberingAfterBreak="0">
    <w:nsid w:val="6A836FC4"/>
    <w:multiLevelType w:val="hybridMultilevel"/>
    <w:tmpl w:val="FA100522"/>
    <w:lvl w:ilvl="0" w:tplc="3770434C">
      <w:numFmt w:val="bullet"/>
      <w:lvlText w:val=""/>
      <w:lvlJc w:val="left"/>
      <w:pPr>
        <w:ind w:left="849" w:hanging="360"/>
      </w:pPr>
      <w:rPr>
        <w:rFonts w:ascii="Wingdings" w:eastAsia="Wingdings" w:hAnsi="Wingdings" w:cs="Wingdings" w:hint="default"/>
        <w:color w:val="1F4E79"/>
        <w:w w:val="103"/>
        <w:sz w:val="19"/>
        <w:szCs w:val="19"/>
      </w:rPr>
    </w:lvl>
    <w:lvl w:ilvl="1" w:tplc="36083736">
      <w:numFmt w:val="bullet"/>
      <w:lvlText w:val="•"/>
      <w:lvlJc w:val="left"/>
      <w:pPr>
        <w:ind w:left="1207" w:hanging="360"/>
      </w:pPr>
      <w:rPr>
        <w:rFonts w:hint="default"/>
      </w:rPr>
    </w:lvl>
    <w:lvl w:ilvl="2" w:tplc="8D881760">
      <w:numFmt w:val="bullet"/>
      <w:lvlText w:val="•"/>
      <w:lvlJc w:val="left"/>
      <w:pPr>
        <w:ind w:left="1575" w:hanging="360"/>
      </w:pPr>
      <w:rPr>
        <w:rFonts w:hint="default"/>
      </w:rPr>
    </w:lvl>
    <w:lvl w:ilvl="3" w:tplc="0D0E3202">
      <w:numFmt w:val="bullet"/>
      <w:lvlText w:val="•"/>
      <w:lvlJc w:val="left"/>
      <w:pPr>
        <w:ind w:left="1943" w:hanging="360"/>
      </w:pPr>
      <w:rPr>
        <w:rFonts w:hint="default"/>
      </w:rPr>
    </w:lvl>
    <w:lvl w:ilvl="4" w:tplc="EE305B52">
      <w:numFmt w:val="bullet"/>
      <w:lvlText w:val="•"/>
      <w:lvlJc w:val="left"/>
      <w:pPr>
        <w:ind w:left="2310" w:hanging="360"/>
      </w:pPr>
      <w:rPr>
        <w:rFonts w:hint="default"/>
      </w:rPr>
    </w:lvl>
    <w:lvl w:ilvl="5" w:tplc="B3D43C3C">
      <w:numFmt w:val="bullet"/>
      <w:lvlText w:val="•"/>
      <w:lvlJc w:val="left"/>
      <w:pPr>
        <w:ind w:left="2678" w:hanging="360"/>
      </w:pPr>
      <w:rPr>
        <w:rFonts w:hint="default"/>
      </w:rPr>
    </w:lvl>
    <w:lvl w:ilvl="6" w:tplc="3D3CB754">
      <w:numFmt w:val="bullet"/>
      <w:lvlText w:val="•"/>
      <w:lvlJc w:val="left"/>
      <w:pPr>
        <w:ind w:left="3046" w:hanging="360"/>
      </w:pPr>
      <w:rPr>
        <w:rFonts w:hint="default"/>
      </w:rPr>
    </w:lvl>
    <w:lvl w:ilvl="7" w:tplc="BDB42044">
      <w:numFmt w:val="bullet"/>
      <w:lvlText w:val="•"/>
      <w:lvlJc w:val="left"/>
      <w:pPr>
        <w:ind w:left="3413" w:hanging="360"/>
      </w:pPr>
      <w:rPr>
        <w:rFonts w:hint="default"/>
      </w:rPr>
    </w:lvl>
    <w:lvl w:ilvl="8" w:tplc="5994119C">
      <w:numFmt w:val="bullet"/>
      <w:lvlText w:val="•"/>
      <w:lvlJc w:val="left"/>
      <w:pPr>
        <w:ind w:left="3781" w:hanging="360"/>
      </w:pPr>
      <w:rPr>
        <w:rFonts w:hint="default"/>
      </w:rPr>
    </w:lvl>
  </w:abstractNum>
  <w:abstractNum w:abstractNumId="7" w15:restartNumberingAfterBreak="0">
    <w:nsid w:val="75231DBE"/>
    <w:multiLevelType w:val="hybridMultilevel"/>
    <w:tmpl w:val="7E142EB6"/>
    <w:lvl w:ilvl="0" w:tplc="7972AB7A">
      <w:numFmt w:val="bullet"/>
      <w:lvlText w:val=""/>
      <w:lvlJc w:val="left"/>
      <w:pPr>
        <w:ind w:left="973" w:hanging="360"/>
      </w:pPr>
      <w:rPr>
        <w:rFonts w:ascii="Wingdings" w:eastAsia="Wingdings" w:hAnsi="Wingdings" w:cs="Wingdings" w:hint="default"/>
        <w:color w:val="1F4E79"/>
        <w:w w:val="103"/>
        <w:sz w:val="19"/>
        <w:szCs w:val="19"/>
      </w:rPr>
    </w:lvl>
    <w:lvl w:ilvl="1" w:tplc="EE888548">
      <w:numFmt w:val="bullet"/>
      <w:lvlText w:val=""/>
      <w:lvlJc w:val="left"/>
      <w:pPr>
        <w:ind w:left="1300" w:hanging="360"/>
      </w:pPr>
      <w:rPr>
        <w:rFonts w:ascii="Wingdings" w:eastAsia="Wingdings" w:hAnsi="Wingdings" w:cs="Wingdings" w:hint="default"/>
        <w:color w:val="1F4E79"/>
        <w:w w:val="103"/>
        <w:sz w:val="19"/>
        <w:szCs w:val="19"/>
      </w:rPr>
    </w:lvl>
    <w:lvl w:ilvl="2" w:tplc="A8544B2E">
      <w:numFmt w:val="bullet"/>
      <w:lvlText w:val="•"/>
      <w:lvlJc w:val="left"/>
      <w:pPr>
        <w:ind w:left="1681" w:hanging="360"/>
      </w:pPr>
      <w:rPr>
        <w:rFonts w:hint="default"/>
      </w:rPr>
    </w:lvl>
    <w:lvl w:ilvl="3" w:tplc="91A6255C">
      <w:numFmt w:val="bullet"/>
      <w:lvlText w:val="•"/>
      <w:lvlJc w:val="left"/>
      <w:pPr>
        <w:ind w:left="2062" w:hanging="360"/>
      </w:pPr>
      <w:rPr>
        <w:rFonts w:hint="default"/>
      </w:rPr>
    </w:lvl>
    <w:lvl w:ilvl="4" w:tplc="94A4BF3C">
      <w:numFmt w:val="bullet"/>
      <w:lvlText w:val="•"/>
      <w:lvlJc w:val="left"/>
      <w:pPr>
        <w:ind w:left="2444" w:hanging="360"/>
      </w:pPr>
      <w:rPr>
        <w:rFonts w:hint="default"/>
      </w:rPr>
    </w:lvl>
    <w:lvl w:ilvl="5" w:tplc="1AFA5AA2">
      <w:numFmt w:val="bullet"/>
      <w:lvlText w:val="•"/>
      <w:lvlJc w:val="left"/>
      <w:pPr>
        <w:ind w:left="2825" w:hanging="360"/>
      </w:pPr>
      <w:rPr>
        <w:rFonts w:hint="default"/>
      </w:rPr>
    </w:lvl>
    <w:lvl w:ilvl="6" w:tplc="6F9AFD08">
      <w:numFmt w:val="bullet"/>
      <w:lvlText w:val="•"/>
      <w:lvlJc w:val="left"/>
      <w:pPr>
        <w:ind w:left="3207" w:hanging="360"/>
      </w:pPr>
      <w:rPr>
        <w:rFonts w:hint="default"/>
      </w:rPr>
    </w:lvl>
    <w:lvl w:ilvl="7" w:tplc="DF568DE2">
      <w:numFmt w:val="bullet"/>
      <w:lvlText w:val="•"/>
      <w:lvlJc w:val="left"/>
      <w:pPr>
        <w:ind w:left="3588" w:hanging="360"/>
      </w:pPr>
      <w:rPr>
        <w:rFonts w:hint="default"/>
      </w:rPr>
    </w:lvl>
    <w:lvl w:ilvl="8" w:tplc="C464C98A">
      <w:numFmt w:val="bullet"/>
      <w:lvlText w:val="•"/>
      <w:lvlJc w:val="left"/>
      <w:pPr>
        <w:ind w:left="3969" w:hanging="3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6206"/>
    <w:rsid w:val="00F12D5B"/>
    <w:rsid w:val="00F9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,"/>
  <w:listSeparator w:val=";"/>
  <w14:docId w14:val="42A6512A"/>
  <w15:docId w15:val="{15A89A84-4483-4154-9083-FA03AA0CB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Titre1">
    <w:name w:val="heading 1"/>
    <w:basedOn w:val="Normal"/>
    <w:uiPriority w:val="9"/>
    <w:qFormat/>
    <w:pPr>
      <w:spacing w:before="106"/>
      <w:ind w:left="167"/>
      <w:outlineLvl w:val="0"/>
    </w:pPr>
    <w:rPr>
      <w:sz w:val="21"/>
      <w:szCs w:val="21"/>
    </w:rPr>
  </w:style>
  <w:style w:type="paragraph" w:styleId="Titre2">
    <w:name w:val="heading 2"/>
    <w:basedOn w:val="Normal"/>
    <w:uiPriority w:val="9"/>
    <w:unhideWhenUsed/>
    <w:qFormat/>
    <w:pPr>
      <w:ind w:left="134"/>
      <w:outlineLvl w:val="1"/>
    </w:pPr>
    <w:rPr>
      <w:b/>
      <w:bCs/>
      <w:sz w:val="19"/>
      <w:szCs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19"/>
      <w:szCs w:val="19"/>
    </w:rPr>
  </w:style>
  <w:style w:type="paragraph" w:styleId="Titre">
    <w:name w:val="Title"/>
    <w:basedOn w:val="Normal"/>
    <w:uiPriority w:val="10"/>
    <w:qFormat/>
    <w:pPr>
      <w:ind w:left="253"/>
    </w:pPr>
    <w:rPr>
      <w:sz w:val="52"/>
      <w:szCs w:val="52"/>
    </w:rPr>
  </w:style>
  <w:style w:type="paragraph" w:styleId="Paragraphedeliste">
    <w:name w:val="List Paragraph"/>
    <w:basedOn w:val="Normal"/>
    <w:uiPriority w:val="1"/>
    <w:qFormat/>
    <w:pPr>
      <w:spacing w:before="51"/>
      <w:ind w:left="130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goo.gl/VO4Tb5.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goo.gl/iXiA6B.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1027</Words>
  <Characters>5652</Characters>
  <Application>Microsoft Office Word</Application>
  <DocSecurity>0</DocSecurity>
  <Lines>47</Lines>
  <Paragraphs>13</Paragraphs>
  <ScaleCrop>false</ScaleCrop>
  <Company/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Caroline Debauche</cp:lastModifiedBy>
  <cp:revision>2</cp:revision>
  <dcterms:created xsi:type="dcterms:W3CDTF">2020-12-03T12:04:00Z</dcterms:created>
  <dcterms:modified xsi:type="dcterms:W3CDTF">2020-12-03T12:04:00Z</dcterms:modified>
</cp:coreProperties>
</file>